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Lines/>
        <w:tabs>
          <w:tab w:val="right" w:pos="10440"/>
          <w:tab w:val="right" w:pos="13323"/>
        </w:tabs>
        <w:spacing w:before="60" w:after="60"/>
        <w:ind w:left="482" w:hanging="482"/>
        <w:outlineLvl w:val="0"/>
        <w:rPr>
          <w:rFonts w:hint="default" w:eastAsia="宋体" w:cs="Arial"/>
          <w:b w:val="0"/>
          <w:sz w:val="24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cs="Arial"/>
          <w:sz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</w:rPr>
        <w:t>10</w:t>
      </w:r>
      <w:r>
        <w:rPr>
          <w:rFonts w:hint="eastAsia" w:eastAsia="宋体" w:cs="Arial"/>
          <w:sz w:val="24"/>
          <w:lang w:val="en-US" w:eastAsia="zh-CN"/>
        </w:rPr>
        <w:t>6</w:t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cs="Arial"/>
          <w:sz w:val="24"/>
        </w:rPr>
        <w:t>R4-2</w:t>
      </w:r>
      <w:r>
        <w:rPr>
          <w:rFonts w:hint="eastAsia" w:eastAsia="宋体" w:cs="Arial"/>
          <w:sz w:val="24"/>
          <w:lang w:val="en-US" w:eastAsia="zh-CN"/>
        </w:rPr>
        <w:t>301225</w:t>
      </w:r>
    </w:p>
    <w:p>
      <w:pPr>
        <w:pStyle w:val="15"/>
        <w:tabs>
          <w:tab w:val="right" w:pos="9781"/>
          <w:tab w:val="right" w:pos="13323"/>
        </w:tabs>
        <w:spacing w:before="60" w:after="60"/>
        <w:ind w:left="482" w:hanging="482"/>
        <w:outlineLvl w:val="0"/>
        <w:rPr>
          <w:rFonts w:eastAsia="宋体" w:cs="Arial"/>
          <w:b w:val="0"/>
          <w:sz w:val="24"/>
          <w:lang w:eastAsia="zh-CN"/>
        </w:rPr>
      </w:pPr>
      <w:r>
        <w:rPr>
          <w:rFonts w:hint="eastAsia" w:eastAsia="宋体" w:cs="Arial"/>
          <w:sz w:val="24"/>
          <w:lang w:val="en-US" w:eastAsia="zh-CN"/>
        </w:rPr>
        <w:t>Athens</w:t>
      </w:r>
      <w:r>
        <w:rPr>
          <w:rFonts w:hint="eastAsia" w:eastAsia="宋体" w:cs="Arial"/>
          <w:sz w:val="24"/>
          <w:lang w:eastAsia="zh-CN"/>
        </w:rPr>
        <w:t xml:space="preserve">, </w:t>
      </w:r>
      <w:r>
        <w:rPr>
          <w:rFonts w:hint="eastAsia" w:eastAsia="宋体" w:cs="Arial"/>
          <w:sz w:val="24"/>
          <w:lang w:val="en-US" w:eastAsia="zh-CN"/>
        </w:rPr>
        <w:t>Greece</w:t>
      </w:r>
      <w:r>
        <w:rPr>
          <w:rFonts w:hint="eastAsia" w:eastAsia="宋体" w:cs="Arial"/>
          <w:sz w:val="24"/>
          <w:lang w:eastAsia="zh-CN"/>
        </w:rPr>
        <w:t xml:space="preserve">, </w:t>
      </w:r>
      <w:r>
        <w:rPr>
          <w:rFonts w:hint="eastAsia" w:eastAsia="宋体" w:cs="Arial"/>
          <w:sz w:val="24"/>
          <w:lang w:val="en-US" w:eastAsia="zh-CN"/>
        </w:rPr>
        <w:t>Feb</w:t>
      </w:r>
      <w:r>
        <w:rPr>
          <w:rFonts w:hint="eastAsia" w:eastAsia="宋体" w:cs="Arial"/>
          <w:sz w:val="24"/>
          <w:lang w:eastAsia="zh-CN"/>
        </w:rPr>
        <w:t xml:space="preserve">. </w:t>
      </w:r>
      <w:r>
        <w:rPr>
          <w:rFonts w:hint="eastAsia" w:eastAsia="宋体" w:cs="Arial"/>
          <w:sz w:val="24"/>
          <w:lang w:val="en-US" w:eastAsia="zh-CN"/>
        </w:rPr>
        <w:t>27</w:t>
      </w:r>
      <w:r>
        <w:rPr>
          <w:rFonts w:hint="eastAsia" w:eastAsia="宋体" w:cs="Arial"/>
          <w:sz w:val="24"/>
          <w:lang w:eastAsia="zh-CN"/>
        </w:rPr>
        <w:t>-</w:t>
      </w:r>
      <w:r>
        <w:rPr>
          <w:rFonts w:hint="eastAsia" w:eastAsia="宋体" w:cs="Arial"/>
          <w:sz w:val="24"/>
          <w:lang w:val="en-US" w:eastAsia="zh-CN"/>
        </w:rPr>
        <w:t>Mar</w:t>
      </w:r>
      <w:r>
        <w:rPr>
          <w:rFonts w:hint="eastAsia" w:eastAsia="宋体" w:cs="Arial"/>
          <w:sz w:val="24"/>
          <w:lang w:eastAsia="zh-CN"/>
        </w:rPr>
        <w:t xml:space="preserve">. </w:t>
      </w:r>
      <w:r>
        <w:rPr>
          <w:rFonts w:hint="eastAsia" w:eastAsia="宋体" w:cs="Arial"/>
          <w:sz w:val="24"/>
          <w:lang w:val="en-US" w:eastAsia="zh-CN"/>
        </w:rPr>
        <w:t>03</w:t>
      </w:r>
      <w:r>
        <w:rPr>
          <w:rFonts w:hint="eastAsia" w:eastAsia="宋体" w:cs="Arial"/>
          <w:sz w:val="24"/>
          <w:lang w:eastAsia="zh-CN"/>
        </w:rPr>
        <w:t>, 202</w:t>
      </w:r>
      <w:r>
        <w:rPr>
          <w:rFonts w:hint="eastAsia" w:eastAsia="宋体" w:cs="Arial"/>
          <w:sz w:val="24"/>
          <w:lang w:val="en-US" w:eastAsia="zh-CN"/>
        </w:rPr>
        <w:t>3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sz w:val="24"/>
          <w:lang w:val="en-GB" w:eastAsia="zh-CN"/>
        </w:rPr>
      </w:pPr>
    </w:p>
    <w:p>
      <w:pPr>
        <w:pStyle w:val="15"/>
        <w:tabs>
          <w:tab w:val="left" w:pos="1800"/>
          <w:tab w:val="clear" w:pos="4536"/>
        </w:tabs>
        <w:spacing w:after="60"/>
        <w:ind w:left="1800" w:hanging="1800"/>
        <w:jc w:val="both"/>
        <w:outlineLvl w:val="0"/>
        <w:rPr>
          <w:rFonts w:eastAsia="宋体"/>
          <w:sz w:val="24"/>
          <w:lang w:val="en-US" w:eastAsia="zh-CN"/>
        </w:rPr>
      </w:pPr>
      <w:r>
        <w:rPr>
          <w:sz w:val="24"/>
        </w:rPr>
        <w:t>Source:</w:t>
      </w:r>
      <w:r>
        <w:rPr>
          <w:sz w:val="24"/>
        </w:rPr>
        <w:tab/>
      </w:r>
      <w:r>
        <w:rPr>
          <w:rFonts w:eastAsia="宋体"/>
          <w:sz w:val="24"/>
          <w:lang w:val="en-US" w:eastAsia="zh-CN"/>
        </w:rPr>
        <w:t>ZTE Corporation</w:t>
      </w:r>
    </w:p>
    <w:p>
      <w:pPr>
        <w:pStyle w:val="15"/>
        <w:tabs>
          <w:tab w:val="left" w:pos="1800"/>
          <w:tab w:val="right" w:pos="9298"/>
          <w:tab w:val="clear" w:pos="4536"/>
          <w:tab w:val="clear" w:pos="9072"/>
        </w:tabs>
        <w:spacing w:after="60"/>
        <w:ind w:left="1807" w:hanging="1801" w:hangingChars="750"/>
        <w:outlineLvl w:val="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Title: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Discussion on band definition for 900 MHz LTE Band</w:t>
      </w:r>
    </w:p>
    <w:p>
      <w:pPr>
        <w:pStyle w:val="15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outlineLvl w:val="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Agenda Item: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10.4.2</w:t>
      </w:r>
    </w:p>
    <w:p>
      <w:pPr>
        <w:pStyle w:val="15"/>
        <w:tabs>
          <w:tab w:val="left" w:pos="1800"/>
        </w:tabs>
        <w:snapToGrid w:val="0"/>
        <w:spacing w:after="240"/>
        <w:jc w:val="both"/>
        <w:outlineLvl w:val="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Approval</w:t>
      </w:r>
    </w:p>
    <w:p>
      <w:pPr>
        <w:pStyle w:val="2"/>
        <w:keepNext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425" w:hanging="425"/>
        <w:jc w:val="both"/>
        <w:textAlignment w:val="baseline"/>
        <w:rPr>
          <w:rFonts w:hint="eastAsia" w:eastAsia="宋体"/>
          <w:sz w:val="21"/>
          <w:szCs w:val="21"/>
          <w:lang w:val="en-US" w:eastAsia="zh-CN"/>
        </w:rPr>
      </w:pPr>
      <w:r>
        <w:rPr>
          <w:rFonts w:eastAsia="宋体"/>
          <w:lang w:eastAsia="zh-CN"/>
        </w:rPr>
        <w:t>Introduction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left"/>
        <w:textAlignment w:val="auto"/>
        <w:outlineLvl w:val="9"/>
        <w:rPr>
          <w:rFonts w:hint="default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During RAN#98-e meeting, a new Work Item [1] has been approved on introduction of 900 MHz LTE Band in the US. In this contribution, we want to share some initial views on band definition.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bCs/>
        </w:rPr>
      </w:pPr>
      <w:r>
        <w:rPr>
          <w:bCs/>
        </w:rPr>
        <w:t>Specify a new E-UTRA/LTE FDD operating band operating with</w:t>
      </w:r>
    </w:p>
    <w:p>
      <w:pPr>
        <w:keepNext w:val="0"/>
        <w:keepLines w:val="0"/>
        <w:pageBreakBefore w:val="0"/>
        <w:widowControl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bCs/>
        </w:rPr>
      </w:pPr>
      <w:r>
        <w:rPr>
          <w:bCs/>
        </w:rPr>
        <w:t>UL: 896 – 901 MHz and DL 935 – 940 MHz</w:t>
      </w:r>
    </w:p>
    <w:p>
      <w:pPr>
        <w:keepNext w:val="0"/>
        <w:keepLines w:val="0"/>
        <w:pageBreakBefore w:val="0"/>
        <w:widowControl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bCs/>
        </w:rPr>
      </w:pPr>
      <w:r>
        <w:rPr>
          <w:bCs/>
        </w:rPr>
        <w:t>To support 5 MHz, 3 MHz, 1.4 MHz and NB-IoT channel bandwidths with 15 kHz SCS and 3.75kHz SCS.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bCs/>
        </w:rPr>
      </w:pPr>
      <w:r>
        <w:rPr>
          <w:bCs/>
        </w:rPr>
        <w:t>Study and specify the co-existence requirements</w:t>
      </w:r>
    </w:p>
    <w:p>
      <w:pPr>
        <w:keepNext w:val="0"/>
        <w:keepLines w:val="0"/>
        <w:pageBreakBefore w:val="0"/>
        <w:widowControl/>
        <w:numPr>
          <w:ilvl w:val="1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bCs/>
        </w:rPr>
      </w:pPr>
      <w:r>
        <w:rPr>
          <w:bCs/>
        </w:rPr>
        <w:t xml:space="preserve">Support FCC OOB emission mask in FCC-20-67A1 for all the defined channel bandwidths in the proposed band to ensure co-existence with adjacent narrowband and broadband networks to avoid interference. </w:t>
      </w:r>
    </w:p>
    <w:p>
      <w:pPr>
        <w:keepNext w:val="0"/>
        <w:keepLines w:val="0"/>
        <w:pageBreakBefore w:val="0"/>
        <w:widowControl/>
        <w:numPr>
          <w:ilvl w:val="1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bCs/>
        </w:rPr>
      </w:pPr>
      <w:r>
        <w:rPr>
          <w:bCs/>
        </w:rPr>
        <w:t>Study and if needed, specify the protection for B5 and B26 including MPR.</w:t>
      </w:r>
    </w:p>
    <w:p>
      <w:pPr>
        <w:keepNext w:val="0"/>
        <w:keepLines w:val="0"/>
        <w:pageBreakBefore w:val="0"/>
        <w:widowControl/>
        <w:numPr>
          <w:ilvl w:val="1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rFonts w:hint="default" w:eastAsia="宋体"/>
          <w:sz w:val="20"/>
          <w:szCs w:val="20"/>
          <w:lang w:val="en-US" w:eastAsia="zh-CN"/>
        </w:rPr>
      </w:pPr>
      <w:r>
        <w:rPr>
          <w:bCs/>
        </w:rPr>
        <w:t>Assume reusing band B8 duplexer</w:t>
      </w:r>
    </w:p>
    <w:p>
      <w:pPr>
        <w:pStyle w:val="2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Discussion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567" w:leftChars="0" w:hanging="567" w:firstLineChars="0"/>
        <w:jc w:val="both"/>
        <w:textAlignment w:val="auto"/>
        <w:outlineLvl w:val="1"/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  <w:t>Operating band and band numbering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before="120" w:after="12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As indicated in the objective, </w:t>
      </w:r>
      <w:r>
        <w:rPr>
          <w:bCs/>
        </w:rPr>
        <w:t>a new E-UTRA/LTE FDD operating band</w:t>
      </w:r>
      <w:r>
        <w:rPr>
          <w:rFonts w:hint="eastAsia" w:eastAsia="宋体"/>
          <w:bCs/>
          <w:lang w:val="en-US" w:eastAsia="zh-CN"/>
        </w:rPr>
        <w:t xml:space="preserve"> should be defined.</w:t>
      </w:r>
    </w:p>
    <w:p>
      <w:pPr>
        <w:rPr>
          <w:rFonts w:hint="default"/>
          <w:lang w:val="en-US" w:eastAsia="zh-CN"/>
        </w:rPr>
      </w:pPr>
    </w:p>
    <w:p>
      <w:pPr>
        <w:bidi w:val="0"/>
        <w:jc w:val="center"/>
      </w:pPr>
      <w:r>
        <w:drawing>
          <wp:inline distT="0" distB="0" distL="114300" distR="114300">
            <wp:extent cx="5061585" cy="1962150"/>
            <wp:effectExtent l="0" t="0" r="1333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158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Table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2.1-</w:t>
      </w:r>
      <w:r>
        <w:rPr>
          <w:rFonts w:hint="default" w:ascii="Times New Roman" w:hAnsi="Times New Roman" w:cs="Times New Roman"/>
          <w:sz w:val="20"/>
          <w:szCs w:val="20"/>
        </w:rPr>
        <w:t xml:space="preserve">1: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E-UTRA</w:t>
      </w:r>
      <w:r>
        <w:rPr>
          <w:rFonts w:hint="default" w:ascii="Times New Roman" w:hAnsi="Times New Roman" w:cs="Times New Roman"/>
          <w:sz w:val="20"/>
          <w:szCs w:val="20"/>
        </w:rPr>
        <w:t xml:space="preserve"> operating bands</w:t>
      </w:r>
    </w:p>
    <w:tbl>
      <w:tblPr>
        <w:tblStyle w:val="17"/>
        <w:tblW w:w="7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"/>
        <w:gridCol w:w="1227"/>
        <w:gridCol w:w="517"/>
        <w:gridCol w:w="1175"/>
        <w:gridCol w:w="1243"/>
        <w:gridCol w:w="317"/>
        <w:gridCol w:w="1201"/>
        <w:gridCol w:w="9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3"/>
              <w:rPr>
                <w:rFonts w:cs="Arial"/>
                <w:sz w:val="18"/>
                <w:szCs w:val="18"/>
                <w:lang w:eastAsia="en-US"/>
              </w:rPr>
            </w:pPr>
            <w:r>
              <w:rPr>
                <w:rFonts w:cs="Arial"/>
                <w:sz w:val="18"/>
                <w:szCs w:val="18"/>
                <w:lang w:eastAsia="en-US"/>
              </w:rPr>
              <w:t>E</w:t>
            </w:r>
            <w:r>
              <w:rPr>
                <w:rFonts w:cs="Arial"/>
                <w:sz w:val="18"/>
                <w:szCs w:val="18"/>
                <w:lang w:eastAsia="en-US"/>
              </w:rPr>
              <w:noBreakHyphen/>
            </w:r>
            <w:r>
              <w:rPr>
                <w:rFonts w:cs="Arial"/>
                <w:sz w:val="18"/>
                <w:szCs w:val="18"/>
                <w:lang w:eastAsia="en-US"/>
              </w:rPr>
              <w:t>UTRA Operating Band</w:t>
            </w:r>
          </w:p>
        </w:tc>
        <w:tc>
          <w:tcPr>
            <w:tcW w:w="29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3"/>
              <w:rPr>
                <w:rFonts w:cs="Arial"/>
                <w:sz w:val="18"/>
                <w:szCs w:val="18"/>
                <w:lang w:eastAsia="en-US"/>
              </w:rPr>
            </w:pPr>
            <w:r>
              <w:rPr>
                <w:rFonts w:cs="Arial"/>
                <w:sz w:val="18"/>
                <w:szCs w:val="18"/>
                <w:lang w:eastAsia="en-US"/>
              </w:rPr>
              <w:t>Uplink (UL) operating band</w:t>
            </w:r>
            <w:r>
              <w:rPr>
                <w:rFonts w:cs="Arial"/>
                <w:sz w:val="18"/>
                <w:szCs w:val="18"/>
                <w:lang w:eastAsia="en-US"/>
              </w:rPr>
              <w:br w:type="textWrapping"/>
            </w:r>
            <w:r>
              <w:rPr>
                <w:rFonts w:cs="Arial"/>
                <w:sz w:val="18"/>
                <w:szCs w:val="18"/>
                <w:lang w:eastAsia="en-US"/>
              </w:rPr>
              <w:t>BS receive</w:t>
            </w:r>
            <w:r>
              <w:rPr>
                <w:rFonts w:cs="Arial"/>
                <w:sz w:val="18"/>
                <w:szCs w:val="18"/>
                <w:lang w:eastAsia="en-US"/>
              </w:rPr>
              <w:br w:type="textWrapping"/>
            </w:r>
            <w:r>
              <w:rPr>
                <w:rFonts w:cs="Arial"/>
                <w:sz w:val="18"/>
                <w:szCs w:val="18"/>
                <w:lang w:eastAsia="en-US"/>
              </w:rPr>
              <w:t>UE transmit</w:t>
            </w:r>
          </w:p>
        </w:tc>
        <w:tc>
          <w:tcPr>
            <w:tcW w:w="276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3"/>
              <w:rPr>
                <w:rFonts w:cs="Arial"/>
                <w:sz w:val="18"/>
                <w:szCs w:val="18"/>
                <w:lang w:eastAsia="en-US"/>
              </w:rPr>
            </w:pPr>
            <w:r>
              <w:rPr>
                <w:rFonts w:cs="Arial"/>
                <w:sz w:val="18"/>
                <w:szCs w:val="18"/>
                <w:lang w:eastAsia="en-US"/>
              </w:rPr>
              <w:t>Downlink (DL) operating band</w:t>
            </w:r>
            <w:r>
              <w:rPr>
                <w:rFonts w:cs="Arial"/>
                <w:sz w:val="18"/>
                <w:szCs w:val="18"/>
                <w:lang w:eastAsia="en-US"/>
              </w:rPr>
              <w:br w:type="textWrapping"/>
            </w:r>
            <w:r>
              <w:rPr>
                <w:rFonts w:cs="Arial"/>
                <w:sz w:val="18"/>
                <w:szCs w:val="18"/>
                <w:lang w:eastAsia="en-US"/>
              </w:rPr>
              <w:t xml:space="preserve">BS transmit </w:t>
            </w:r>
            <w:r>
              <w:rPr>
                <w:rFonts w:cs="Arial"/>
                <w:sz w:val="18"/>
                <w:szCs w:val="18"/>
                <w:lang w:eastAsia="en-US"/>
              </w:rPr>
              <w:br w:type="textWrapping"/>
            </w:r>
            <w:r>
              <w:rPr>
                <w:rFonts w:cs="Arial"/>
                <w:sz w:val="18"/>
                <w:szCs w:val="18"/>
                <w:lang w:eastAsia="en-US"/>
              </w:rPr>
              <w:t>UE receive</w:t>
            </w:r>
          </w:p>
        </w:tc>
        <w:tc>
          <w:tcPr>
            <w:tcW w:w="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33"/>
              <w:rPr>
                <w:rFonts w:cs="Arial"/>
                <w:sz w:val="18"/>
                <w:szCs w:val="18"/>
                <w:lang w:eastAsia="en-US"/>
              </w:rPr>
            </w:pPr>
            <w:r>
              <w:rPr>
                <w:rFonts w:cs="Arial"/>
                <w:sz w:val="18"/>
                <w:szCs w:val="18"/>
                <w:lang w:eastAsia="en-US"/>
              </w:rPr>
              <w:t>Duplex Mode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3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29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3"/>
              <w:rPr>
                <w:rFonts w:cs="Arial"/>
                <w:sz w:val="18"/>
                <w:szCs w:val="18"/>
                <w:lang w:eastAsia="en-US"/>
              </w:rPr>
            </w:pPr>
            <w:r>
              <w:rPr>
                <w:rFonts w:cs="Arial"/>
                <w:sz w:val="18"/>
                <w:szCs w:val="18"/>
                <w:lang w:eastAsia="en-US"/>
              </w:rPr>
              <w:t>F</w:t>
            </w:r>
            <w:r>
              <w:rPr>
                <w:rFonts w:cs="Arial"/>
                <w:sz w:val="18"/>
                <w:szCs w:val="18"/>
                <w:vertAlign w:val="subscript"/>
                <w:lang w:eastAsia="en-US"/>
              </w:rPr>
              <w:t>UL_low</w:t>
            </w:r>
            <w:r>
              <w:rPr>
                <w:rFonts w:cs="Arial"/>
                <w:sz w:val="18"/>
                <w:szCs w:val="18"/>
                <w:lang w:eastAsia="en-US"/>
              </w:rPr>
              <w:t xml:space="preserve">   –  F</w:t>
            </w:r>
            <w:r>
              <w:rPr>
                <w:rFonts w:cs="Arial"/>
                <w:sz w:val="18"/>
                <w:szCs w:val="18"/>
                <w:vertAlign w:val="subscript"/>
                <w:lang w:eastAsia="en-US"/>
              </w:rPr>
              <w:t>UL_high</w:t>
            </w:r>
          </w:p>
        </w:tc>
        <w:tc>
          <w:tcPr>
            <w:tcW w:w="276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3"/>
              <w:rPr>
                <w:rFonts w:cs="Arial"/>
                <w:sz w:val="18"/>
                <w:szCs w:val="18"/>
                <w:lang w:eastAsia="en-US"/>
              </w:rPr>
            </w:pPr>
            <w:r>
              <w:rPr>
                <w:rFonts w:cs="Arial"/>
                <w:sz w:val="18"/>
                <w:szCs w:val="18"/>
                <w:lang w:eastAsia="en-US"/>
              </w:rPr>
              <w:t>F</w:t>
            </w:r>
            <w:r>
              <w:rPr>
                <w:rFonts w:cs="Arial"/>
                <w:sz w:val="18"/>
                <w:szCs w:val="18"/>
                <w:vertAlign w:val="subscript"/>
                <w:lang w:eastAsia="en-US"/>
              </w:rPr>
              <w:t>DL_low</w:t>
            </w:r>
            <w:r>
              <w:rPr>
                <w:rFonts w:cs="Arial"/>
                <w:sz w:val="18"/>
                <w:szCs w:val="18"/>
                <w:lang w:eastAsia="en-US"/>
              </w:rPr>
              <w:t xml:space="preserve">  –  F</w:t>
            </w:r>
            <w:r>
              <w:rPr>
                <w:rFonts w:cs="Arial"/>
                <w:sz w:val="18"/>
                <w:szCs w:val="18"/>
                <w:vertAlign w:val="subscript"/>
                <w:lang w:eastAsia="en-US"/>
              </w:rPr>
              <w:t>DL_high</w:t>
            </w:r>
          </w:p>
        </w:tc>
        <w:tc>
          <w:tcPr>
            <w:tcW w:w="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cs="Arial"/>
                <w:sz w:val="18"/>
                <w:szCs w:val="18"/>
                <w:lang w:eastAsia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4"/>
              <w:rPr>
                <w:rFonts w:hint="default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eastAsia" w:cs="Arial"/>
                <w:color w:val="auto"/>
                <w:sz w:val="18"/>
                <w:szCs w:val="18"/>
                <w:lang w:val="en-US" w:eastAsia="zh-CN"/>
              </w:rPr>
              <w:t>[</w:t>
            </w:r>
            <w:r>
              <w:rPr>
                <w:rFonts w:cs="Arial"/>
                <w:color w:val="auto"/>
                <w:sz w:val="18"/>
                <w:szCs w:val="18"/>
                <w:lang w:eastAsia="en-US"/>
              </w:rPr>
              <w:t>1</w:t>
            </w:r>
            <w:r>
              <w:rPr>
                <w:rFonts w:hint="eastAsia" w:cs="Arial"/>
                <w:color w:val="auto"/>
                <w:sz w:val="18"/>
                <w:szCs w:val="18"/>
                <w:lang w:val="en-US" w:eastAsia="zh-CN"/>
              </w:rPr>
              <w:t>06]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41"/>
              <w:rPr>
                <w:rFonts w:cs="Arial"/>
                <w:sz w:val="18"/>
                <w:szCs w:val="18"/>
                <w:lang w:eastAsia="en-US"/>
              </w:rPr>
            </w:pPr>
            <w:r>
              <w:rPr>
                <w:rFonts w:hint="eastAsia" w:cs="Arial"/>
                <w:sz w:val="18"/>
                <w:szCs w:val="18"/>
                <w:lang w:val="en-US" w:eastAsia="zh-CN"/>
              </w:rPr>
              <w:t>896</w:t>
            </w:r>
            <w:r>
              <w:rPr>
                <w:rFonts w:cs="Arial"/>
                <w:sz w:val="18"/>
                <w:szCs w:val="18"/>
                <w:lang w:eastAsia="en-US"/>
              </w:rPr>
              <w:t xml:space="preserve"> MHz</w:t>
            </w:r>
          </w:p>
        </w:tc>
        <w:tc>
          <w:tcPr>
            <w:tcW w:w="5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34"/>
              <w:rPr>
                <w:rFonts w:cs="Arial"/>
                <w:sz w:val="18"/>
                <w:szCs w:val="18"/>
                <w:lang w:eastAsia="en-US"/>
              </w:rPr>
            </w:pPr>
            <w:r>
              <w:rPr>
                <w:rFonts w:cs="Arial"/>
                <w:sz w:val="18"/>
                <w:szCs w:val="18"/>
                <w:lang w:eastAsia="en-US"/>
              </w:rPr>
              <w:t>–</w:t>
            </w:r>
          </w:p>
        </w:tc>
        <w:tc>
          <w:tcPr>
            <w:tcW w:w="117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rPr>
                <w:rFonts w:cs="Arial"/>
                <w:sz w:val="18"/>
                <w:szCs w:val="18"/>
                <w:lang w:eastAsia="en-US"/>
              </w:rPr>
            </w:pPr>
            <w:r>
              <w:rPr>
                <w:rFonts w:hint="eastAsia" w:cs="Arial"/>
                <w:sz w:val="18"/>
                <w:szCs w:val="18"/>
                <w:lang w:val="en-US" w:eastAsia="zh-CN"/>
              </w:rPr>
              <w:t>901</w:t>
            </w:r>
            <w:r>
              <w:rPr>
                <w:rFonts w:cs="Arial"/>
                <w:sz w:val="18"/>
                <w:szCs w:val="18"/>
                <w:lang w:eastAsia="en-US"/>
              </w:rPr>
              <w:t xml:space="preserve"> MHz </w:t>
            </w:r>
          </w:p>
        </w:tc>
        <w:tc>
          <w:tcPr>
            <w:tcW w:w="12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41"/>
              <w:rPr>
                <w:rFonts w:cs="Arial"/>
                <w:sz w:val="18"/>
                <w:szCs w:val="18"/>
                <w:lang w:eastAsia="en-US"/>
              </w:rPr>
            </w:pPr>
            <w:r>
              <w:rPr>
                <w:rFonts w:hint="eastAsia" w:cs="Arial"/>
                <w:sz w:val="18"/>
                <w:szCs w:val="18"/>
                <w:lang w:val="en-US" w:eastAsia="zh-CN"/>
              </w:rPr>
              <w:t>935</w:t>
            </w:r>
            <w:r>
              <w:rPr>
                <w:rFonts w:cs="Arial"/>
                <w:sz w:val="18"/>
                <w:szCs w:val="18"/>
                <w:lang w:eastAsia="en-US"/>
              </w:rPr>
              <w:t xml:space="preserve"> MHz</w:t>
            </w:r>
          </w:p>
        </w:tc>
        <w:tc>
          <w:tcPr>
            <w:tcW w:w="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34"/>
              <w:rPr>
                <w:rFonts w:cs="Arial"/>
                <w:sz w:val="18"/>
                <w:szCs w:val="18"/>
                <w:lang w:eastAsia="en-US"/>
              </w:rPr>
            </w:pPr>
            <w:r>
              <w:rPr>
                <w:rFonts w:cs="Arial"/>
                <w:sz w:val="18"/>
                <w:szCs w:val="18"/>
                <w:lang w:eastAsia="en-US"/>
              </w:rPr>
              <w:t>–</w:t>
            </w:r>
          </w:p>
        </w:tc>
        <w:tc>
          <w:tcPr>
            <w:tcW w:w="120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rPr>
                <w:rFonts w:cs="Arial"/>
                <w:sz w:val="18"/>
                <w:szCs w:val="18"/>
                <w:lang w:eastAsia="en-US"/>
              </w:rPr>
            </w:pPr>
            <w:r>
              <w:rPr>
                <w:rFonts w:hint="eastAsia" w:cs="Arial"/>
                <w:sz w:val="18"/>
                <w:szCs w:val="18"/>
                <w:lang w:val="en-US" w:eastAsia="zh-CN"/>
              </w:rPr>
              <w:t>940</w:t>
            </w:r>
            <w:r>
              <w:rPr>
                <w:rFonts w:cs="Arial"/>
                <w:sz w:val="18"/>
                <w:szCs w:val="18"/>
                <w:lang w:eastAsia="en-US"/>
              </w:rPr>
              <w:t xml:space="preserve"> MHz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cs="Arial"/>
                <w:sz w:val="18"/>
                <w:szCs w:val="18"/>
                <w:lang w:eastAsia="en-US"/>
              </w:rPr>
            </w:pPr>
            <w:r>
              <w:rPr>
                <w:rFonts w:cs="Arial"/>
                <w:sz w:val="18"/>
                <w:szCs w:val="18"/>
                <w:lang w:eastAsia="en-US"/>
              </w:rPr>
              <w:t>FDD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default" w:cs="Times New Roman"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>Proposal 1: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To define the new LTE band as in table 2.1-1.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567" w:leftChars="0" w:hanging="567" w:firstLineChars="0"/>
        <w:jc w:val="both"/>
        <w:textAlignment w:val="auto"/>
        <w:outlineLvl w:val="1"/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  <w:t>Channel bandwidth and transmission bandwidth configuration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For the new </w:t>
      </w:r>
      <w:r>
        <w:rPr>
          <w:bCs/>
        </w:rPr>
        <w:t>E-UTRA/LTE FDD operating band</w:t>
      </w:r>
      <w:r>
        <w:rPr>
          <w:rFonts w:hint="eastAsia" w:eastAsia="宋体"/>
          <w:bCs/>
          <w:lang w:val="en-US" w:eastAsia="zh-CN"/>
        </w:rPr>
        <w:t>, as stated in the Work Item, it supports 5 MHz, 3 MHz, 1.4 MHz and NB-IoT channel bandwidths with 15 kHz SCS and 3.75kHz SCS. The transmission bandwidth configuration should follow TS 36.101.</w:t>
      </w:r>
    </w:p>
    <w:p>
      <w:pPr>
        <w:pStyle w:val="3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Table </w:t>
      </w:r>
      <w:r>
        <w:rPr>
          <w:rFonts w:hint="default" w:ascii="Times New Roman" w:hAnsi="Times New Roman" w:cs="Times New Roman"/>
          <w:lang w:val="en-US" w:eastAsia="zh-CN"/>
        </w:rPr>
        <w:t>2.2</w:t>
      </w:r>
      <w:r>
        <w:rPr>
          <w:rFonts w:hint="default" w:ascii="Times New Roman" w:hAnsi="Times New Roman" w:cs="Times New Roman"/>
        </w:rPr>
        <w:t>-1: E-UTRA channel bandwidth</w:t>
      </w:r>
    </w:p>
    <w:tbl>
      <w:tblPr>
        <w:tblStyle w:val="17"/>
        <w:tblW w:w="70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005"/>
        <w:gridCol w:w="1005"/>
        <w:gridCol w:w="1005"/>
        <w:gridCol w:w="1005"/>
        <w:gridCol w:w="1005"/>
        <w:gridCol w:w="1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034" w:type="dxa"/>
            <w:gridSpan w:val="7"/>
            <w:vAlign w:val="center"/>
          </w:tcPr>
          <w:p>
            <w:pPr>
              <w:pStyle w:val="33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E-UTRA band / Channel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4" w:type="dxa"/>
            <w:vAlign w:val="center"/>
          </w:tcPr>
          <w:p>
            <w:pPr>
              <w:pStyle w:val="33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E-UTRA Band</w:t>
            </w:r>
          </w:p>
        </w:tc>
        <w:tc>
          <w:tcPr>
            <w:tcW w:w="1005" w:type="dxa"/>
            <w:vAlign w:val="center"/>
          </w:tcPr>
          <w:p>
            <w:pPr>
              <w:pStyle w:val="33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1.4 MHz</w:t>
            </w:r>
          </w:p>
        </w:tc>
        <w:tc>
          <w:tcPr>
            <w:tcW w:w="1005" w:type="dxa"/>
            <w:vAlign w:val="center"/>
          </w:tcPr>
          <w:p>
            <w:pPr>
              <w:pStyle w:val="33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3 MHz</w:t>
            </w:r>
          </w:p>
        </w:tc>
        <w:tc>
          <w:tcPr>
            <w:tcW w:w="1005" w:type="dxa"/>
            <w:vAlign w:val="center"/>
          </w:tcPr>
          <w:p>
            <w:pPr>
              <w:pStyle w:val="33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5 MHz</w:t>
            </w:r>
          </w:p>
        </w:tc>
        <w:tc>
          <w:tcPr>
            <w:tcW w:w="1005" w:type="dxa"/>
            <w:vAlign w:val="center"/>
          </w:tcPr>
          <w:p>
            <w:pPr>
              <w:pStyle w:val="33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10 MHz</w:t>
            </w:r>
          </w:p>
        </w:tc>
        <w:tc>
          <w:tcPr>
            <w:tcW w:w="1005" w:type="dxa"/>
            <w:vAlign w:val="center"/>
          </w:tcPr>
          <w:p>
            <w:pPr>
              <w:pStyle w:val="33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15 MHz</w:t>
            </w:r>
          </w:p>
        </w:tc>
        <w:tc>
          <w:tcPr>
            <w:tcW w:w="1005" w:type="dxa"/>
            <w:vAlign w:val="center"/>
          </w:tcPr>
          <w:p>
            <w:pPr>
              <w:pStyle w:val="33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4" w:type="dxa"/>
            <w:vAlign w:val="center"/>
          </w:tcPr>
          <w:p>
            <w:pPr>
              <w:pStyle w:val="34"/>
              <w:jc w:val="center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106</w:t>
            </w:r>
          </w:p>
        </w:tc>
        <w:tc>
          <w:tcPr>
            <w:tcW w:w="1005" w:type="dxa"/>
            <w:vAlign w:val="center"/>
          </w:tcPr>
          <w:p>
            <w:pPr>
              <w:pStyle w:val="34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bCs/>
                <w:lang w:eastAsia="en-US"/>
              </w:rPr>
              <w:t>Yes</w:t>
            </w:r>
          </w:p>
        </w:tc>
        <w:tc>
          <w:tcPr>
            <w:tcW w:w="1005" w:type="dxa"/>
            <w:vAlign w:val="center"/>
          </w:tcPr>
          <w:p>
            <w:pPr>
              <w:pStyle w:val="34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bCs/>
                <w:lang w:eastAsia="en-US"/>
              </w:rPr>
              <w:t>Yes</w:t>
            </w:r>
          </w:p>
        </w:tc>
        <w:tc>
          <w:tcPr>
            <w:tcW w:w="1005" w:type="dxa"/>
            <w:vAlign w:val="center"/>
          </w:tcPr>
          <w:p>
            <w:pPr>
              <w:pStyle w:val="34"/>
              <w:jc w:val="center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Yes</w:t>
            </w:r>
          </w:p>
        </w:tc>
        <w:tc>
          <w:tcPr>
            <w:tcW w:w="1005" w:type="dxa"/>
            <w:vAlign w:val="center"/>
          </w:tcPr>
          <w:p>
            <w:pPr>
              <w:pStyle w:val="34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005" w:type="dxa"/>
            <w:vAlign w:val="center"/>
          </w:tcPr>
          <w:p>
            <w:pPr>
              <w:pStyle w:val="34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005" w:type="dxa"/>
            <w:vAlign w:val="center"/>
          </w:tcPr>
          <w:p>
            <w:pPr>
              <w:pStyle w:val="34"/>
              <w:jc w:val="center"/>
              <w:rPr>
                <w:rFonts w:cs="Arial"/>
                <w:lang w:eastAsia="en-US"/>
              </w:rPr>
            </w:pPr>
          </w:p>
        </w:tc>
      </w:tr>
    </w:tbl>
    <w:p>
      <w:pPr>
        <w:pStyle w:val="36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Table </w:t>
      </w:r>
      <w:r>
        <w:rPr>
          <w:rFonts w:hint="default" w:ascii="Times New Roman" w:hAnsi="Times New Roman" w:cs="Times New Roman"/>
          <w:lang w:val="en-US" w:eastAsia="zh-CN"/>
        </w:rPr>
        <w:t>2.2</w:t>
      </w:r>
      <w:r>
        <w:rPr>
          <w:rFonts w:hint="default" w:ascii="Times New Roman" w:hAnsi="Times New Roman" w:cs="Times New Roman"/>
        </w:rPr>
        <w:t>-</w:t>
      </w:r>
      <w:r>
        <w:rPr>
          <w:rFonts w:hint="default" w:ascii="Times New Roman" w:hAnsi="Times New Roman" w:cs="Times New Roman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: Transmission bandwidth configuration N</w:t>
      </w:r>
      <w:r>
        <w:rPr>
          <w:rFonts w:hint="default" w:ascii="Times New Roman" w:hAnsi="Times New Roman" w:cs="Times New Roman"/>
          <w:vertAlign w:val="subscript"/>
        </w:rPr>
        <w:t>RB</w:t>
      </w:r>
      <w:r>
        <w:rPr>
          <w:rFonts w:hint="default" w:ascii="Times New Roman" w:hAnsi="Times New Roman" w:cs="Times New Roman"/>
        </w:rPr>
        <w:t xml:space="preserve"> in E-UTRA channel bandwidths</w:t>
      </w:r>
    </w:p>
    <w:tbl>
      <w:tblPr>
        <w:tblStyle w:val="17"/>
        <w:tblW w:w="45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7"/>
        <w:gridCol w:w="804"/>
        <w:gridCol w:w="746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337" w:type="dxa"/>
            <w:vAlign w:val="center"/>
          </w:tcPr>
          <w:p>
            <w:pPr>
              <w:pStyle w:val="33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Channel bandwidth BW</w:t>
            </w:r>
            <w:r>
              <w:rPr>
                <w:rFonts w:cs="Arial"/>
                <w:vertAlign w:val="subscript"/>
                <w:lang w:eastAsia="en-US"/>
              </w:rPr>
              <w:t>Channel</w:t>
            </w:r>
            <w:r>
              <w:rPr>
                <w:rFonts w:cs="Arial"/>
                <w:lang w:eastAsia="en-US"/>
              </w:rPr>
              <w:t xml:space="preserve"> [MHz]</w:t>
            </w:r>
          </w:p>
        </w:tc>
        <w:tc>
          <w:tcPr>
            <w:tcW w:w="804" w:type="dxa"/>
            <w:vAlign w:val="center"/>
          </w:tcPr>
          <w:p>
            <w:pPr>
              <w:pStyle w:val="33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1.4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33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3 </w:t>
            </w:r>
          </w:p>
        </w:tc>
        <w:tc>
          <w:tcPr>
            <w:tcW w:w="708" w:type="dxa"/>
            <w:vAlign w:val="center"/>
          </w:tcPr>
          <w:p>
            <w:pPr>
              <w:pStyle w:val="33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337" w:type="dxa"/>
            <w:vAlign w:val="center"/>
          </w:tcPr>
          <w:p>
            <w:pPr>
              <w:pStyle w:val="3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Transmission bandwidth configuration N</w:t>
            </w:r>
            <w:r>
              <w:rPr>
                <w:rFonts w:cs="Arial"/>
                <w:vertAlign w:val="subscript"/>
                <w:lang w:eastAsia="en-US"/>
              </w:rPr>
              <w:t>RB</w:t>
            </w:r>
          </w:p>
        </w:tc>
        <w:tc>
          <w:tcPr>
            <w:tcW w:w="804" w:type="dxa"/>
            <w:vAlign w:val="center"/>
          </w:tcPr>
          <w:p>
            <w:pPr>
              <w:pStyle w:val="3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6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3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15 </w:t>
            </w:r>
          </w:p>
        </w:tc>
        <w:tc>
          <w:tcPr>
            <w:tcW w:w="708" w:type="dxa"/>
            <w:vAlign w:val="center"/>
          </w:tcPr>
          <w:p>
            <w:pPr>
              <w:pStyle w:val="3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25</w:t>
            </w:r>
          </w:p>
        </w:tc>
      </w:tr>
    </w:tbl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 w:after="120" w:line="240" w:lineRule="auto"/>
        <w:textAlignment w:val="auto"/>
        <w:rPr>
          <w:rFonts w:hint="eastAsia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0" w:firstLine="0" w:firstLineChars="0"/>
        <w:jc w:val="both"/>
        <w:textAlignment w:val="auto"/>
        <w:rPr>
          <w:rFonts w:hint="eastAsia"/>
          <w:i/>
          <w:iCs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2:</w:t>
      </w:r>
      <w:r>
        <w:rPr>
          <w:rFonts w:hint="eastAsia"/>
          <w:i/>
          <w:iCs/>
          <w:sz w:val="20"/>
          <w:szCs w:val="20"/>
          <w:lang w:val="en-US" w:eastAsia="zh-CN"/>
        </w:rPr>
        <w:t xml:space="preserve"> For the new LTE band, it supports</w:t>
      </w:r>
      <w:r>
        <w:rPr>
          <w:rFonts w:hint="eastAsia" w:eastAsia="宋体"/>
          <w:bCs/>
          <w:i/>
          <w:iCs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1.4MHz, 3MHz and 5MHz channel bandwidth. 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0" w:firstLine="0" w:firstLineChars="0"/>
        <w:jc w:val="both"/>
        <w:textAlignment w:val="auto"/>
        <w:rPr>
          <w:rFonts w:hint="default"/>
          <w:i/>
          <w:iCs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3:</w:t>
      </w:r>
      <w:r>
        <w:rPr>
          <w:rFonts w:hint="eastAsia"/>
          <w:i/>
          <w:iCs/>
          <w:sz w:val="20"/>
          <w:szCs w:val="20"/>
          <w:lang w:val="en-US" w:eastAsia="zh-CN"/>
        </w:rPr>
        <w:t xml:space="preserve"> For the new LTE band, to reuse the transmission bandwidth configuration of TS 36.101.</w:t>
      </w:r>
    </w:p>
    <w:p>
      <w:pPr>
        <w:pStyle w:val="4"/>
        <w:bidi w:val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2.2.1 </w:t>
      </w:r>
      <w:r>
        <w:rPr>
          <w:rFonts w:hint="eastAsia" w:ascii="Arial" w:hAnsi="Arial" w:eastAsia="MS Mincho"/>
          <w:lang w:val="en-US" w:eastAsia="zh-CN"/>
        </w:rPr>
        <w:t xml:space="preserve">Channel bandwidth for </w:t>
      </w:r>
      <w:r>
        <w:rPr>
          <w:rFonts w:hint="eastAsia"/>
          <w:b w:val="0"/>
          <w:bCs w:val="0"/>
          <w:lang w:val="en-US" w:eastAsia="zh-CN"/>
        </w:rPr>
        <w:t>NB-IoT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 w:after="120" w:line="240" w:lineRule="auto"/>
        <w:textAlignment w:val="auto"/>
        <w:rPr>
          <w:kern w:val="2"/>
        </w:rPr>
      </w:pPr>
      <w:r>
        <w:rPr>
          <w:rFonts w:hint="eastAsia" w:eastAsia="宋体"/>
          <w:kern w:val="2"/>
          <w:lang w:val="en-US" w:eastAsia="zh-CN"/>
        </w:rPr>
        <w:t>I</w:t>
      </w:r>
      <w:r>
        <w:rPr>
          <w:rFonts w:hint="eastAsia"/>
          <w:kern w:val="2"/>
        </w:rPr>
        <w:t>t’s also proposed to reuse the transmission bandwidth configuration of TS</w:t>
      </w:r>
      <w:r>
        <w:rPr>
          <w:rFonts w:hint="eastAsia" w:eastAsia="宋体"/>
          <w:kern w:val="2"/>
          <w:lang w:val="en-US" w:eastAsia="zh-CN"/>
        </w:rPr>
        <w:t xml:space="preserve"> </w:t>
      </w:r>
      <w:r>
        <w:rPr>
          <w:rFonts w:hint="eastAsia"/>
          <w:kern w:val="2"/>
        </w:rPr>
        <w:t>36.10</w:t>
      </w:r>
      <w:r>
        <w:rPr>
          <w:rFonts w:hint="eastAsia" w:eastAsia="宋体"/>
          <w:kern w:val="2"/>
          <w:lang w:val="en-US" w:eastAsia="zh-CN"/>
        </w:rPr>
        <w:t>1</w:t>
      </w:r>
      <w:r>
        <w:rPr>
          <w:rFonts w:hint="eastAsia"/>
          <w:kern w:val="2"/>
        </w:rPr>
        <w:t xml:space="preserve"> for </w:t>
      </w:r>
      <w:r>
        <w:rPr>
          <w:rFonts w:hint="eastAsia" w:eastAsia="宋体"/>
          <w:kern w:val="2"/>
          <w:lang w:val="en-US" w:eastAsia="zh-CN"/>
        </w:rPr>
        <w:t>the new LTE band which supports NB-IoT.</w:t>
      </w:r>
    </w:p>
    <w:p>
      <w:pPr>
        <w:pStyle w:val="3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 w:after="120" w:line="24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Table </w:t>
      </w:r>
      <w:r>
        <w:rPr>
          <w:rFonts w:hint="default" w:ascii="Times New Roman" w:hAnsi="Times New Roman" w:cs="Times New Roman"/>
          <w:lang w:val="en-US" w:eastAsia="zh-CN"/>
        </w:rPr>
        <w:t>2.2-3</w:t>
      </w:r>
      <w:r>
        <w:rPr>
          <w:rFonts w:hint="default" w:ascii="Times New Roman" w:hAnsi="Times New Roman" w:cs="Times New Roman"/>
        </w:rPr>
        <w:t xml:space="preserve">: Transmission bandwidth configuration </w:t>
      </w:r>
      <w:r>
        <w:rPr>
          <w:rFonts w:hint="default" w:ascii="Times New Roman" w:hAnsi="Times New Roman" w:cs="Times New Roman"/>
          <w:i/>
        </w:rPr>
        <w:t>N</w:t>
      </w:r>
      <w:r>
        <w:rPr>
          <w:rFonts w:hint="default" w:ascii="Times New Roman" w:hAnsi="Times New Roman" w:cs="Times New Roman"/>
          <w:vertAlign w:val="subscript"/>
        </w:rPr>
        <w:t>RB</w:t>
      </w:r>
      <w:r>
        <w:rPr>
          <w:rFonts w:hint="default" w:ascii="Times New Roman" w:hAnsi="Times New Roman" w:cs="Times New Roman"/>
        </w:rPr>
        <w:t xml:space="preserve">, </w:t>
      </w:r>
      <w:r>
        <w:rPr>
          <w:rFonts w:hint="default" w:ascii="Times New Roman" w:hAnsi="Times New Roman" w:cs="Times New Roman"/>
          <w:i/>
        </w:rPr>
        <w:t>N</w:t>
      </w:r>
      <w:r>
        <w:rPr>
          <w:rFonts w:hint="default" w:ascii="Times New Roman" w:hAnsi="Times New Roman" w:cs="Times New Roman"/>
          <w:vertAlign w:val="subscript"/>
        </w:rPr>
        <w:t>tone 15kHz</w:t>
      </w:r>
      <w:r>
        <w:rPr>
          <w:rFonts w:hint="default" w:ascii="Times New Roman" w:hAnsi="Times New Roman" w:cs="Times New Roman"/>
        </w:rPr>
        <w:t xml:space="preserve"> and </w:t>
      </w:r>
      <w:r>
        <w:rPr>
          <w:rFonts w:hint="default" w:ascii="Times New Roman" w:hAnsi="Times New Roman" w:cs="Times New Roman"/>
          <w:i/>
        </w:rPr>
        <w:t>N</w:t>
      </w:r>
      <w:r>
        <w:rPr>
          <w:rFonts w:hint="default" w:ascii="Times New Roman" w:hAnsi="Times New Roman" w:cs="Times New Roman"/>
          <w:vertAlign w:val="subscript"/>
        </w:rPr>
        <w:t xml:space="preserve">tone 3.75kHz </w:t>
      </w:r>
      <w:r>
        <w:rPr>
          <w:rFonts w:hint="default" w:ascii="Times New Roman" w:hAnsi="Times New Roman" w:cs="Times New Roman"/>
        </w:rPr>
        <w:t>in NB</w:t>
      </w:r>
      <w:r>
        <w:rPr>
          <w:rFonts w:hint="default" w:ascii="Times New Roman" w:hAnsi="Times New Roman" w:cs="Times New Roman"/>
          <w:lang w:val="en-US" w:eastAsia="zh-CN"/>
        </w:rPr>
        <w:t>-IoT</w:t>
      </w:r>
      <w:r>
        <w:rPr>
          <w:rFonts w:hint="default" w:ascii="Times New Roman" w:hAnsi="Times New Roman" w:cs="Times New Roman"/>
        </w:rPr>
        <w:t xml:space="preserve"> channel bandwidth</w:t>
      </w:r>
    </w:p>
    <w:tbl>
      <w:tblPr>
        <w:tblStyle w:val="17"/>
        <w:tblW w:w="42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2480" w:type="dxa"/>
            <w:vAlign w:val="center"/>
          </w:tcPr>
          <w:p>
            <w:pPr>
              <w:pStyle w:val="33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Channel bandwidth </w:t>
            </w:r>
            <w:r>
              <w:rPr>
                <w:rFonts w:ascii="Times New Roman" w:hAnsi="Times New Roman" w:cs="Arial"/>
                <w:lang w:eastAsia="en-US"/>
              </w:rPr>
              <w:t>BW</w:t>
            </w:r>
            <w:r>
              <w:rPr>
                <w:rFonts w:ascii="Times New Roman" w:hAnsi="Times New Roman" w:cs="Arial"/>
                <w:vertAlign w:val="subscript"/>
                <w:lang w:eastAsia="en-US"/>
              </w:rPr>
              <w:t>Channel</w:t>
            </w:r>
            <w:r>
              <w:rPr>
                <w:rFonts w:ascii="Times New Roman" w:hAnsi="Times New Roman" w:cs="Arial"/>
                <w:kern w:val="2"/>
                <w:lang w:eastAsia="en-US"/>
              </w:rPr>
              <w:t xml:space="preserve"> </w:t>
            </w:r>
            <w:r>
              <w:rPr>
                <w:rFonts w:cs="Arial"/>
                <w:lang w:eastAsia="en-US"/>
              </w:rPr>
              <w:t>[kHz]</w:t>
            </w:r>
          </w:p>
        </w:tc>
        <w:tc>
          <w:tcPr>
            <w:tcW w:w="1800" w:type="dxa"/>
            <w:vAlign w:val="center"/>
          </w:tcPr>
          <w:p>
            <w:pPr>
              <w:pStyle w:val="33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480" w:type="dxa"/>
            <w:vAlign w:val="center"/>
          </w:tcPr>
          <w:p>
            <w:pPr>
              <w:pStyle w:val="3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Transmission bandwidth configuration </w:t>
            </w:r>
            <w:r>
              <w:rPr>
                <w:rFonts w:cs="Arial"/>
                <w:i/>
                <w:lang w:eastAsia="en-US"/>
              </w:rPr>
              <w:t>N</w:t>
            </w:r>
            <w:r>
              <w:rPr>
                <w:rFonts w:cs="Arial"/>
                <w:vertAlign w:val="subscript"/>
                <w:lang w:eastAsia="en-US"/>
              </w:rPr>
              <w:t>RB</w:t>
            </w:r>
          </w:p>
        </w:tc>
        <w:tc>
          <w:tcPr>
            <w:tcW w:w="1800" w:type="dxa"/>
            <w:vAlign w:val="center"/>
          </w:tcPr>
          <w:p>
            <w:pPr>
              <w:pStyle w:val="3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480" w:type="dxa"/>
            <w:vAlign w:val="center"/>
          </w:tcPr>
          <w:p>
            <w:pPr>
              <w:pStyle w:val="3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Transmission bandwidth configuration </w:t>
            </w:r>
            <w:r>
              <w:rPr>
                <w:rFonts w:cs="Arial"/>
                <w:i/>
                <w:lang w:eastAsia="en-US"/>
              </w:rPr>
              <w:t>N</w:t>
            </w:r>
            <w:r>
              <w:rPr>
                <w:rFonts w:cs="Arial"/>
                <w:vertAlign w:val="subscript"/>
                <w:lang w:eastAsia="en-US"/>
              </w:rPr>
              <w:t>tone 15kHz</w:t>
            </w:r>
          </w:p>
        </w:tc>
        <w:tc>
          <w:tcPr>
            <w:tcW w:w="1800" w:type="dxa"/>
            <w:vAlign w:val="center"/>
          </w:tcPr>
          <w:p>
            <w:pPr>
              <w:pStyle w:val="3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Transmission bandwidth configuration </w:t>
            </w:r>
            <w:r>
              <w:rPr>
                <w:rFonts w:cs="Arial"/>
                <w:i/>
                <w:lang w:eastAsia="en-US"/>
              </w:rPr>
              <w:t>N</w:t>
            </w:r>
            <w:r>
              <w:rPr>
                <w:rFonts w:cs="Arial"/>
                <w:vertAlign w:val="subscript"/>
                <w:lang w:eastAsia="en-US"/>
              </w:rPr>
              <w:t xml:space="preserve">tone 3.75kHz 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48</w:t>
            </w:r>
          </w:p>
        </w:tc>
      </w:tr>
    </w:tbl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0" w:firstLine="0" w:firstLineChars="0"/>
        <w:jc w:val="both"/>
        <w:textAlignment w:val="auto"/>
        <w:rPr>
          <w:rFonts w:hint="default"/>
          <w:i/>
          <w:iCs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4:</w:t>
      </w:r>
      <w:r>
        <w:rPr>
          <w:rFonts w:hint="eastAsia"/>
          <w:i/>
          <w:iCs/>
          <w:sz w:val="20"/>
          <w:szCs w:val="20"/>
          <w:lang w:val="en-US" w:eastAsia="zh-CN"/>
        </w:rPr>
        <w:t xml:space="preserve"> For the new LTE band</w:t>
      </w:r>
      <w:r>
        <w:rPr>
          <w:rFonts w:hint="eastAsia" w:eastAsia="宋体"/>
          <w:i/>
          <w:iCs/>
          <w:kern w:val="2"/>
          <w:lang w:val="en-US" w:eastAsia="zh-CN"/>
        </w:rPr>
        <w:t xml:space="preserve"> which supports NB-IoT</w:t>
      </w:r>
      <w:r>
        <w:rPr>
          <w:rFonts w:hint="eastAsia"/>
          <w:i/>
          <w:iCs/>
          <w:sz w:val="20"/>
          <w:szCs w:val="20"/>
          <w:lang w:val="en-US" w:eastAsia="zh-CN"/>
        </w:rPr>
        <w:t>, to reuse the transmission bandwidth configuration of TS 36.101.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567" w:leftChars="0" w:hanging="567" w:firstLineChars="0"/>
        <w:jc w:val="both"/>
        <w:textAlignment w:val="auto"/>
        <w:outlineLvl w:val="1"/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  <w:t>Carrier frequency and EARFCN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 w:after="120" w:line="24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For E-UTRA channel numbers, we propose to use the similar descending manner to define as following:</w:t>
      </w:r>
    </w:p>
    <w:p>
      <w:pPr>
        <w:pStyle w:val="3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 w:after="120" w:line="24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Table </w:t>
      </w:r>
      <w:r>
        <w:rPr>
          <w:rFonts w:hint="default" w:ascii="Times New Roman" w:hAnsi="Times New Roman" w:cs="Times New Roman"/>
          <w:lang w:val="en-US" w:eastAsia="zh-CN"/>
        </w:rPr>
        <w:t>2.</w:t>
      </w:r>
      <w:r>
        <w:rPr>
          <w:rFonts w:hint="default" w:ascii="Times New Roman" w:hAnsi="Times New Roman" w:cs="Times New Roman"/>
        </w:rPr>
        <w:t>3-1: E-UTRA channel numbers</w:t>
      </w:r>
    </w:p>
    <w:tbl>
      <w:tblPr>
        <w:tblStyle w:val="17"/>
        <w:tblW w:w="93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362"/>
        <w:gridCol w:w="1251"/>
        <w:gridCol w:w="1577"/>
        <w:gridCol w:w="1230"/>
        <w:gridCol w:w="1134"/>
        <w:gridCol w:w="17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7" w:type="dxa"/>
            <w:vMerge w:val="restart"/>
            <w:shd w:val="clear" w:color="auto" w:fill="auto"/>
            <w:vAlign w:val="center"/>
          </w:tcPr>
          <w:p>
            <w:pPr>
              <w:pStyle w:val="33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E-UTRA Operating</w:t>
            </w:r>
          </w:p>
          <w:p>
            <w:pPr>
              <w:pStyle w:val="33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Band</w:t>
            </w:r>
          </w:p>
        </w:tc>
        <w:tc>
          <w:tcPr>
            <w:tcW w:w="4190" w:type="dxa"/>
            <w:gridSpan w:val="3"/>
            <w:vAlign w:val="center"/>
          </w:tcPr>
          <w:p>
            <w:pPr>
              <w:pStyle w:val="33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Downlink</w:t>
            </w:r>
          </w:p>
        </w:tc>
        <w:tc>
          <w:tcPr>
            <w:tcW w:w="4087" w:type="dxa"/>
            <w:gridSpan w:val="3"/>
            <w:vAlign w:val="center"/>
          </w:tcPr>
          <w:p>
            <w:pPr>
              <w:pStyle w:val="33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Uplink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7" w:type="dxa"/>
            <w:vMerge w:val="continue"/>
            <w:shd w:val="clear" w:color="auto" w:fill="auto"/>
            <w:vAlign w:val="center"/>
          </w:tcPr>
          <w:p>
            <w:pPr>
              <w:pStyle w:val="33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362" w:type="dxa"/>
            <w:vAlign w:val="center"/>
          </w:tcPr>
          <w:p>
            <w:pPr>
              <w:pStyle w:val="33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</w:t>
            </w:r>
            <w:r>
              <w:rPr>
                <w:rFonts w:cs="Arial"/>
                <w:vertAlign w:val="subscript"/>
                <w:lang w:eastAsia="en-US"/>
              </w:rPr>
              <w:t xml:space="preserve">DL_low </w:t>
            </w:r>
            <w:r>
              <w:rPr>
                <w:rFonts w:cs="Arial"/>
                <w:lang w:eastAsia="en-US"/>
              </w:rPr>
              <w:t>(MHz)</w:t>
            </w:r>
          </w:p>
        </w:tc>
        <w:tc>
          <w:tcPr>
            <w:tcW w:w="1251" w:type="dxa"/>
            <w:vAlign w:val="center"/>
          </w:tcPr>
          <w:p>
            <w:pPr>
              <w:pStyle w:val="33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N</w:t>
            </w:r>
            <w:r>
              <w:rPr>
                <w:rFonts w:cs="Arial"/>
                <w:vertAlign w:val="subscript"/>
                <w:lang w:eastAsia="en-US"/>
              </w:rPr>
              <w:t>Offs-DL</w:t>
            </w:r>
          </w:p>
        </w:tc>
        <w:tc>
          <w:tcPr>
            <w:tcW w:w="1577" w:type="dxa"/>
            <w:vAlign w:val="center"/>
          </w:tcPr>
          <w:p>
            <w:pPr>
              <w:pStyle w:val="33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Range of N</w:t>
            </w:r>
            <w:r>
              <w:rPr>
                <w:rFonts w:cs="Arial"/>
                <w:vertAlign w:val="subscript"/>
                <w:lang w:eastAsia="en-US"/>
              </w:rPr>
              <w:t>DL</w:t>
            </w:r>
          </w:p>
        </w:tc>
        <w:tc>
          <w:tcPr>
            <w:tcW w:w="1230" w:type="dxa"/>
            <w:vAlign w:val="center"/>
          </w:tcPr>
          <w:p>
            <w:pPr>
              <w:pStyle w:val="33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</w:t>
            </w:r>
            <w:r>
              <w:rPr>
                <w:rFonts w:cs="Arial"/>
                <w:vertAlign w:val="subscript"/>
                <w:lang w:eastAsia="en-US"/>
              </w:rPr>
              <w:t>UL_low</w:t>
            </w:r>
            <w:r>
              <w:rPr>
                <w:rFonts w:cs="Arial"/>
                <w:lang w:eastAsia="en-US"/>
              </w:rPr>
              <w:t>(MHz)</w:t>
            </w:r>
          </w:p>
        </w:tc>
        <w:tc>
          <w:tcPr>
            <w:tcW w:w="1134" w:type="dxa"/>
            <w:vAlign w:val="center"/>
          </w:tcPr>
          <w:p>
            <w:pPr>
              <w:pStyle w:val="33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N</w:t>
            </w:r>
            <w:r>
              <w:rPr>
                <w:rFonts w:cs="Arial"/>
                <w:vertAlign w:val="subscript"/>
                <w:lang w:eastAsia="en-US"/>
              </w:rPr>
              <w:t>Offs-UL</w:t>
            </w:r>
          </w:p>
        </w:tc>
        <w:tc>
          <w:tcPr>
            <w:tcW w:w="1723" w:type="dxa"/>
            <w:vAlign w:val="center"/>
          </w:tcPr>
          <w:p>
            <w:pPr>
              <w:pStyle w:val="33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Range of N</w:t>
            </w:r>
            <w:r>
              <w:rPr>
                <w:rFonts w:cs="Arial"/>
                <w:vertAlign w:val="subscript"/>
                <w:lang w:eastAsia="en-US"/>
              </w:rPr>
              <w:t>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7" w:type="dxa"/>
            <w:vAlign w:val="center"/>
          </w:tcPr>
          <w:p>
            <w:pPr>
              <w:pStyle w:val="34"/>
              <w:jc w:val="center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[</w:t>
            </w:r>
            <w:r>
              <w:rPr>
                <w:rFonts w:cs="Arial"/>
                <w:lang w:eastAsia="en-US"/>
              </w:rPr>
              <w:t>1</w:t>
            </w:r>
            <w:r>
              <w:rPr>
                <w:rFonts w:hint="eastAsia" w:cs="Arial"/>
                <w:lang w:val="en-US" w:eastAsia="zh-CN"/>
              </w:rPr>
              <w:t>06]</w:t>
            </w:r>
          </w:p>
        </w:tc>
        <w:tc>
          <w:tcPr>
            <w:tcW w:w="1362" w:type="dxa"/>
            <w:vAlign w:val="center"/>
          </w:tcPr>
          <w:p>
            <w:pPr>
              <w:pStyle w:val="34"/>
              <w:jc w:val="center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935</w:t>
            </w:r>
          </w:p>
        </w:tc>
        <w:tc>
          <w:tcPr>
            <w:tcW w:w="1251" w:type="dxa"/>
            <w:vAlign w:val="center"/>
          </w:tcPr>
          <w:p>
            <w:pPr>
              <w:pStyle w:val="34"/>
              <w:jc w:val="center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70656</w:t>
            </w:r>
          </w:p>
        </w:tc>
        <w:tc>
          <w:tcPr>
            <w:tcW w:w="1577" w:type="dxa"/>
            <w:vAlign w:val="center"/>
          </w:tcPr>
          <w:p>
            <w:pPr>
              <w:pStyle w:val="34"/>
              <w:jc w:val="center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70656</w:t>
            </w:r>
            <w:r>
              <w:rPr>
                <w:rFonts w:cs="Arial"/>
                <w:lang w:eastAsia="en-US"/>
              </w:rPr>
              <w:t xml:space="preserve"> – </w:t>
            </w:r>
            <w:r>
              <w:rPr>
                <w:rFonts w:hint="eastAsia" w:cs="Arial"/>
                <w:lang w:val="en-US" w:eastAsia="zh-CN"/>
              </w:rPr>
              <w:t>70705</w:t>
            </w:r>
          </w:p>
        </w:tc>
        <w:tc>
          <w:tcPr>
            <w:tcW w:w="1230" w:type="dxa"/>
            <w:vAlign w:val="center"/>
          </w:tcPr>
          <w:p>
            <w:pPr>
              <w:pStyle w:val="34"/>
              <w:jc w:val="center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896</w:t>
            </w:r>
          </w:p>
        </w:tc>
        <w:tc>
          <w:tcPr>
            <w:tcW w:w="1134" w:type="dxa"/>
            <w:vAlign w:val="center"/>
          </w:tcPr>
          <w:p>
            <w:pPr>
              <w:pStyle w:val="34"/>
              <w:jc w:val="center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134292</w:t>
            </w:r>
          </w:p>
        </w:tc>
        <w:tc>
          <w:tcPr>
            <w:tcW w:w="1723" w:type="dxa"/>
            <w:vAlign w:val="center"/>
          </w:tcPr>
          <w:p>
            <w:pPr>
              <w:pStyle w:val="34"/>
              <w:jc w:val="center"/>
              <w:rPr>
                <w:rFonts w:hint="default" w:eastAsia="宋体" w:cs="Arial"/>
                <w:lang w:val="en-US" w:eastAsia="zh-CN"/>
              </w:rPr>
            </w:pPr>
            <w:r>
              <w:rPr>
                <w:rFonts w:cs="Arial"/>
                <w:lang w:eastAsia="en-US"/>
              </w:rPr>
              <w:t>1</w:t>
            </w:r>
            <w:r>
              <w:rPr>
                <w:rFonts w:hint="eastAsia" w:cs="Arial"/>
                <w:lang w:val="en-US" w:eastAsia="zh-CN"/>
              </w:rPr>
              <w:t>34292</w:t>
            </w:r>
            <w:r>
              <w:rPr>
                <w:rFonts w:cs="Arial"/>
                <w:lang w:eastAsia="en-US"/>
              </w:rPr>
              <w:t xml:space="preserve"> – </w:t>
            </w:r>
            <w:r>
              <w:rPr>
                <w:rFonts w:hint="eastAsia" w:cs="Arial"/>
                <w:lang w:val="en-US" w:eastAsia="zh-CN"/>
              </w:rPr>
              <w:t>134341</w:t>
            </w:r>
          </w:p>
        </w:tc>
      </w:tr>
    </w:tbl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0" w:firstLine="0" w:firstLineChars="0"/>
        <w:jc w:val="both"/>
        <w:textAlignment w:val="auto"/>
        <w:rPr>
          <w:rFonts w:hint="default"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5:</w:t>
      </w:r>
      <w:r>
        <w:rPr>
          <w:rFonts w:hint="eastAsia"/>
          <w:i/>
          <w:iCs/>
          <w:sz w:val="20"/>
          <w:szCs w:val="20"/>
          <w:lang w:val="en-US" w:eastAsia="zh-CN"/>
        </w:rPr>
        <w:t xml:space="preserve"> For E-UTRA channel numbers, it is proposed to define as Table 2.3-1.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567" w:leftChars="0" w:hanging="567" w:firstLineChars="0"/>
        <w:jc w:val="both"/>
        <w:textAlignment w:val="auto"/>
        <w:outlineLvl w:val="1"/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  <w:t>TX–RX frequency separation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 w:after="120" w:line="24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For TX–RX frequency separation, we propose to define as following:</w:t>
      </w:r>
    </w:p>
    <w:p>
      <w:pPr>
        <w:pStyle w:val="3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 w:after="120" w:line="24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Table </w:t>
      </w:r>
      <w:r>
        <w:rPr>
          <w:rFonts w:hint="default" w:ascii="Times New Roman" w:hAnsi="Times New Roman" w:cs="Times New Roman"/>
          <w:lang w:val="en-US" w:eastAsia="zh-CN"/>
        </w:rPr>
        <w:t>2.</w:t>
      </w:r>
      <w:r>
        <w:rPr>
          <w:rFonts w:hint="default" w:ascii="Times New Roman" w:hAnsi="Times New Roman" w:cs="Times New Roman"/>
        </w:rPr>
        <w:t>4-1: Default UE TX-RX frequency separation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7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17" w:type="dxa"/>
            <w:vAlign w:val="center"/>
          </w:tcPr>
          <w:p>
            <w:pPr>
              <w:pStyle w:val="33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E-UTRA Operating Band</w:t>
            </w:r>
          </w:p>
        </w:tc>
        <w:tc>
          <w:tcPr>
            <w:tcW w:w="2693" w:type="dxa"/>
            <w:vAlign w:val="center"/>
          </w:tcPr>
          <w:p>
            <w:pPr>
              <w:pStyle w:val="33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TX </w:t>
            </w:r>
            <w:r>
              <w:rPr>
                <w:rFonts w:cs="v5.0.0"/>
                <w:lang w:eastAsia="en-US"/>
              </w:rPr>
              <w:t>–</w:t>
            </w:r>
            <w:r>
              <w:rPr>
                <w:rFonts w:cs="Arial"/>
                <w:lang w:eastAsia="en-US"/>
              </w:rPr>
              <w:t xml:space="preserve"> RX </w:t>
            </w:r>
            <w:r>
              <w:rPr>
                <w:rFonts w:cs="Arial"/>
                <w:lang w:eastAsia="en-US"/>
              </w:rPr>
              <w:br w:type="textWrapping"/>
            </w:r>
            <w:r>
              <w:rPr>
                <w:rFonts w:cs="Arial"/>
                <w:lang w:eastAsia="en-US"/>
              </w:rPr>
              <w:t>carrier centre frequency</w:t>
            </w:r>
            <w:r>
              <w:rPr>
                <w:rFonts w:cs="Arial"/>
                <w:lang w:eastAsia="en-US"/>
              </w:rPr>
              <w:br w:type="textWrapping"/>
            </w:r>
            <w:r>
              <w:rPr>
                <w:rFonts w:cs="Arial"/>
                <w:lang w:eastAsia="en-US"/>
              </w:rPr>
              <w:t>separation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vAlign w:val="center"/>
          </w:tcPr>
          <w:p>
            <w:pPr>
              <w:pStyle w:val="34"/>
              <w:jc w:val="center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[</w:t>
            </w:r>
            <w:r>
              <w:rPr>
                <w:rFonts w:cs="Arial"/>
                <w:lang w:eastAsia="en-US"/>
              </w:rPr>
              <w:t>1</w:t>
            </w:r>
            <w:r>
              <w:rPr>
                <w:rFonts w:hint="eastAsia" w:cs="Arial"/>
                <w:lang w:val="en-US" w:eastAsia="zh-CN"/>
              </w:rPr>
              <w:t>06]</w:t>
            </w:r>
          </w:p>
        </w:tc>
        <w:tc>
          <w:tcPr>
            <w:tcW w:w="2693" w:type="dxa"/>
            <w:vAlign w:val="center"/>
          </w:tcPr>
          <w:p>
            <w:pPr>
              <w:pStyle w:val="34"/>
              <w:jc w:val="center"/>
              <w:rPr>
                <w:rFonts w:cs="Arial"/>
                <w:lang w:eastAsia="en-US"/>
              </w:rPr>
            </w:pPr>
            <w:r>
              <w:rPr>
                <w:rFonts w:hint="eastAsia" w:cs="Arial"/>
                <w:lang w:val="en-US" w:eastAsia="zh-CN"/>
              </w:rPr>
              <w:t>39</w:t>
            </w:r>
            <w:r>
              <w:rPr>
                <w:rFonts w:cs="Arial"/>
                <w:lang w:eastAsia="en-US"/>
              </w:rPr>
              <w:t xml:space="preserve"> MHz</w:t>
            </w:r>
          </w:p>
        </w:tc>
      </w:tr>
    </w:tbl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/>
        <w:ind w:left="0" w:firstLine="0" w:firstLineChars="0"/>
        <w:jc w:val="both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6:</w:t>
      </w:r>
      <w:r>
        <w:rPr>
          <w:rFonts w:hint="eastAsia"/>
          <w:i/>
          <w:iCs/>
          <w:sz w:val="20"/>
          <w:szCs w:val="20"/>
          <w:lang w:val="en-US" w:eastAsia="zh-CN"/>
        </w:rPr>
        <w:t xml:space="preserve"> For </w:t>
      </w:r>
      <w:r>
        <w:rPr>
          <w:rFonts w:hint="eastAsia"/>
          <w:i/>
          <w:iCs/>
          <w:lang w:val="en-US" w:eastAsia="zh-CN"/>
        </w:rPr>
        <w:t>TX–RX frequency separation</w:t>
      </w:r>
      <w:r>
        <w:rPr>
          <w:rFonts w:hint="eastAsia"/>
          <w:i/>
          <w:iCs/>
          <w:sz w:val="20"/>
          <w:szCs w:val="20"/>
          <w:lang w:val="en-US" w:eastAsia="zh-CN"/>
        </w:rPr>
        <w:t>, it is proposed to define as Table 2.4-1.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567" w:leftChars="0" w:hanging="567" w:firstLineChars="0"/>
        <w:jc w:val="both"/>
        <w:textAlignment w:val="auto"/>
        <w:outlineLvl w:val="1"/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  <w:t>Summary of corrections on TS</w:t>
      </w:r>
      <w:r>
        <w:rPr>
          <w:rFonts w:hint="eastAsia" w:ascii="Arial" w:hAnsi="Arial" w:cs="Arial"/>
          <w:b w:val="0"/>
          <w:sz w:val="28"/>
          <w:szCs w:val="28"/>
          <w:highlight w:val="none"/>
          <w:lang w:val="en-US" w:eastAsia="zh-CN" w:bidi="ar-SA"/>
        </w:rPr>
        <w:t xml:space="preserve"> </w:t>
      </w:r>
      <w:r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  <w:t>3</w:t>
      </w:r>
      <w:r>
        <w:rPr>
          <w:rFonts w:hint="eastAsia" w:ascii="Arial" w:hAnsi="Arial" w:cs="Arial"/>
          <w:b w:val="0"/>
          <w:sz w:val="28"/>
          <w:szCs w:val="28"/>
          <w:highlight w:val="none"/>
          <w:lang w:val="en-US" w:eastAsia="zh-CN" w:bidi="ar-SA"/>
        </w:rPr>
        <w:t>6</w:t>
      </w:r>
      <w:r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  <w:t>.101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topLinePunct w:val="0"/>
        <w:bidi w:val="0"/>
        <w:snapToGrid/>
        <w:jc w:val="left"/>
        <w:rPr>
          <w:rFonts w:hint="eastAsia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>Based on the above, the summary of the corrections on TS 36.101 are given in Table 2.5-1.</w:t>
      </w:r>
    </w:p>
    <w:p>
      <w:pPr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Cs w:val="20"/>
          <w:lang w:val="en-US" w:eastAsia="zh-CN" w:bidi="ar-SA"/>
        </w:rPr>
        <w:t>Table 2.5-1: The summary of the corrections on TS 36.101</w:t>
      </w:r>
    </w:p>
    <w:tbl>
      <w:tblPr>
        <w:tblStyle w:val="18"/>
        <w:tblW w:w="94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4"/>
        <w:gridCol w:w="5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 xml:space="preserve">General 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>part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Operating bands</w:t>
            </w:r>
          </w:p>
        </w:tc>
        <w:tc>
          <w:tcPr>
            <w:tcW w:w="57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A new FDD operating band is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UE channel bandwidth</w:t>
            </w:r>
          </w:p>
        </w:tc>
        <w:tc>
          <w:tcPr>
            <w:tcW w:w="57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ind w:firstLine="200" w:firstLineChars="10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</w:t>
            </w:r>
            <w:r>
              <w:t>Channel bandwidths per operating band</w:t>
            </w:r>
          </w:p>
        </w:tc>
        <w:tc>
          <w:tcPr>
            <w:tcW w:w="57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The new FDD band supports 1.4 MHz, 3 MHz and 5 MHz channel bandwidth.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ind w:firstLine="200" w:firstLineChars="100"/>
              <w:jc w:val="both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 transmission bandwidth configuration</w:t>
            </w:r>
          </w:p>
        </w:tc>
        <w:tc>
          <w:tcPr>
            <w:tcW w:w="57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To reuse the transmission bandwidth configuration of TS 36.101.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ind w:firstLine="200" w:firstLineChars="100"/>
              <w:jc w:val="both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 Channel bandwidth for NB-IoT</w:t>
            </w:r>
          </w:p>
        </w:tc>
        <w:tc>
          <w:tcPr>
            <w:tcW w:w="57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To follow </w:t>
            </w:r>
            <w:r>
              <w:rPr>
                <w:rFonts w:hint="eastAsia"/>
                <w:lang w:val="en-US" w:eastAsia="zh-CN"/>
              </w:rPr>
              <w:t xml:space="preserve">the existing requirements in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TS 36.101.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Channel arrangement</w:t>
            </w:r>
          </w:p>
        </w:tc>
        <w:tc>
          <w:tcPr>
            <w:tcW w:w="57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/>
              <w:jc w:val="both"/>
              <w:textAlignment w:val="baseline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ind w:firstLine="200" w:firstLineChars="10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</w:t>
            </w:r>
            <w:r>
              <w:t xml:space="preserve">Channel </w:t>
            </w:r>
            <w:r>
              <w:rPr>
                <w:rFonts w:hint="eastAsia" w:eastAsia="宋体"/>
                <w:lang w:val="en-US" w:eastAsia="zh-CN"/>
              </w:rPr>
              <w:t>spacing</w:t>
            </w:r>
          </w:p>
        </w:tc>
        <w:tc>
          <w:tcPr>
            <w:tcW w:w="57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/>
              <w:jc w:val="both"/>
              <w:textAlignment w:val="baseline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follow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the existing requirements in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TS 36.101.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ind w:firstLine="200" w:firstLineChars="10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- </w:t>
            </w:r>
            <w:r>
              <w:t xml:space="preserve">Channel </w:t>
            </w:r>
            <w:r>
              <w:rPr>
                <w:rFonts w:hint="eastAsia" w:eastAsia="宋体"/>
                <w:lang w:val="en-US" w:eastAsia="zh-CN"/>
              </w:rPr>
              <w:t>raster</w:t>
            </w:r>
          </w:p>
        </w:tc>
        <w:tc>
          <w:tcPr>
            <w:tcW w:w="57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/>
              <w:jc w:val="both"/>
              <w:textAlignment w:val="baseline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To reuse 100 kHz channel raster.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ind w:firstLine="200" w:firstLineChars="10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</w:t>
            </w:r>
            <w:r>
              <w:rPr>
                <w:rFonts w:hint="eastAsia"/>
              </w:rPr>
              <w:t>Carrier frequency and EARFCN</w:t>
            </w:r>
          </w:p>
        </w:tc>
        <w:tc>
          <w:tcPr>
            <w:tcW w:w="57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The 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E</w:t>
            </w: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ARFCN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 channel numbers</w:t>
            </w: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 should be needed for the new added FDD band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ind w:firstLine="200" w:firstLineChars="100"/>
              <w:jc w:val="both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 TX–RX frequency separation</w:t>
            </w:r>
          </w:p>
        </w:tc>
        <w:tc>
          <w:tcPr>
            <w:tcW w:w="57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/>
              <w:jc w:val="both"/>
              <w:textAlignment w:val="baseline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To define as 39 MHz.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2"/>
        <w:keepNext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425" w:hanging="425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In this contribution, we </w:t>
      </w: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give some initial discussion</w:t>
      </w:r>
      <w:r>
        <w:rPr>
          <w:rFonts w:hint="eastAsia"/>
          <w:sz w:val="20"/>
          <w:szCs w:val="20"/>
          <w:lang w:val="en-US" w:eastAsia="zh-CN"/>
        </w:rPr>
        <w:t xml:space="preserve"> on </w:t>
      </w: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 xml:space="preserve">band definition </w:t>
      </w:r>
      <w:r>
        <w:rPr>
          <w:rFonts w:hint="eastAsia"/>
          <w:sz w:val="20"/>
          <w:szCs w:val="20"/>
          <w:lang w:val="en-US" w:eastAsia="zh-CN"/>
        </w:rPr>
        <w:t>for 900 MHz LTE band and the proposals are made as following: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eastAsia" w:cs="Times New Roman"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>Proposal 1: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To define the new LTE band as in table 2.1-1.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0" w:firstLine="0" w:firstLineChars="0"/>
        <w:jc w:val="both"/>
        <w:textAlignment w:val="auto"/>
        <w:rPr>
          <w:rFonts w:hint="eastAsia"/>
          <w:i/>
          <w:iCs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2:</w:t>
      </w:r>
      <w:r>
        <w:rPr>
          <w:rFonts w:hint="eastAsia"/>
          <w:i/>
          <w:iCs/>
          <w:sz w:val="20"/>
          <w:szCs w:val="20"/>
          <w:lang w:val="en-US" w:eastAsia="zh-CN"/>
        </w:rPr>
        <w:t xml:space="preserve"> For the new LTE band, it supports</w:t>
      </w:r>
      <w:r>
        <w:rPr>
          <w:rFonts w:hint="eastAsia" w:eastAsia="宋体"/>
          <w:bCs/>
          <w:i/>
          <w:iCs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1.4MHz, 3MHz and 5MHz channel bandwidth. 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0" w:firstLine="0" w:firstLineChars="0"/>
        <w:jc w:val="both"/>
        <w:textAlignment w:val="auto"/>
        <w:rPr>
          <w:rFonts w:hint="default"/>
          <w:i/>
          <w:iCs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3:</w:t>
      </w:r>
      <w:r>
        <w:rPr>
          <w:rFonts w:hint="eastAsia"/>
          <w:i/>
          <w:iCs/>
          <w:sz w:val="20"/>
          <w:szCs w:val="20"/>
          <w:lang w:val="en-US" w:eastAsia="zh-CN"/>
        </w:rPr>
        <w:t xml:space="preserve"> For the new LTE band, to reuse the transmission bandwidth configuration of TS 36.101.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0" w:firstLine="0" w:firstLineChars="0"/>
        <w:jc w:val="both"/>
        <w:textAlignment w:val="auto"/>
        <w:rPr>
          <w:rFonts w:hint="default"/>
          <w:i/>
          <w:iCs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4:</w:t>
      </w:r>
      <w:r>
        <w:rPr>
          <w:rFonts w:hint="eastAsia"/>
          <w:i/>
          <w:iCs/>
          <w:sz w:val="20"/>
          <w:szCs w:val="20"/>
          <w:lang w:val="en-US" w:eastAsia="zh-CN"/>
        </w:rPr>
        <w:t xml:space="preserve"> for the new LTE band</w:t>
      </w:r>
      <w:r>
        <w:rPr>
          <w:rFonts w:hint="eastAsia" w:eastAsia="宋体"/>
          <w:i/>
          <w:iCs/>
          <w:kern w:val="2"/>
          <w:lang w:val="en-US" w:eastAsia="zh-CN"/>
        </w:rPr>
        <w:t xml:space="preserve"> which support NB-IoT</w:t>
      </w:r>
      <w:r>
        <w:rPr>
          <w:rFonts w:hint="eastAsia"/>
          <w:i/>
          <w:iCs/>
          <w:sz w:val="20"/>
          <w:szCs w:val="20"/>
          <w:lang w:val="en-US" w:eastAsia="zh-CN"/>
        </w:rPr>
        <w:t>, to reuse the transmission bandwidth configuration of TS 36.101.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0" w:firstLine="0" w:firstLineChars="0"/>
        <w:jc w:val="both"/>
        <w:textAlignment w:val="auto"/>
        <w:rPr>
          <w:rFonts w:hint="default"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5:</w:t>
      </w:r>
      <w:r>
        <w:rPr>
          <w:rFonts w:hint="eastAsia"/>
          <w:i/>
          <w:iCs/>
          <w:sz w:val="20"/>
          <w:szCs w:val="20"/>
          <w:lang w:val="en-US" w:eastAsia="zh-CN"/>
        </w:rPr>
        <w:t xml:space="preserve"> For E-UTRA channel numbers, it is proposed to define as Table 2.3-1.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/>
        <w:ind w:left="0" w:firstLine="0" w:firstLineChars="0"/>
        <w:jc w:val="both"/>
        <w:textAlignment w:val="auto"/>
        <w:rPr>
          <w:rFonts w:hint="eastAsia"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6:</w:t>
      </w:r>
      <w:r>
        <w:rPr>
          <w:rFonts w:hint="eastAsia"/>
          <w:i/>
          <w:iCs/>
          <w:sz w:val="20"/>
          <w:szCs w:val="20"/>
          <w:lang w:val="en-US" w:eastAsia="zh-CN"/>
        </w:rPr>
        <w:t xml:space="preserve"> For </w:t>
      </w:r>
      <w:r>
        <w:rPr>
          <w:rFonts w:hint="eastAsia"/>
          <w:i/>
          <w:iCs/>
          <w:lang w:val="en-US" w:eastAsia="zh-CN"/>
        </w:rPr>
        <w:t>TX–RX frequency separation</w:t>
      </w:r>
      <w:r>
        <w:rPr>
          <w:rFonts w:hint="eastAsia"/>
          <w:i/>
          <w:iCs/>
          <w:sz w:val="20"/>
          <w:szCs w:val="20"/>
          <w:lang w:val="en-US" w:eastAsia="zh-CN"/>
        </w:rPr>
        <w:t>, it is proposed to define as Table 2.4-1.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topLinePunct w:val="0"/>
        <w:bidi w:val="0"/>
        <w:snapToGrid/>
        <w:jc w:val="left"/>
        <w:rPr>
          <w:rFonts w:hint="default"/>
          <w:i/>
          <w:iCs/>
          <w:sz w:val="20"/>
          <w:szCs w:val="20"/>
          <w:lang w:val="en-US" w:eastAsia="zh-CN"/>
        </w:rPr>
      </w:pPr>
      <w:r>
        <w:rPr>
          <w:rFonts w:hint="eastAsia"/>
          <w:bCs/>
          <w:i w:val="0"/>
          <w:iCs w:val="0"/>
          <w:sz w:val="20"/>
          <w:szCs w:val="20"/>
          <w:lang w:val="en-US" w:eastAsia="zh-CN"/>
        </w:rPr>
        <w:t xml:space="preserve">In addition, 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the summary of the corrections on TS 36.101 are given in Table 2.5-1.</w:t>
      </w:r>
    </w:p>
    <w:p>
      <w:pPr>
        <w:pStyle w:val="2"/>
        <w:keepNext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425" w:hanging="425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10"/>
        <w:rPr>
          <w:sz w:val="20"/>
          <w:szCs w:val="20"/>
        </w:rPr>
      </w:pPr>
      <w:r>
        <w:rPr>
          <w:rFonts w:hint="eastAsia"/>
          <w:sz w:val="20"/>
          <w:szCs w:val="20"/>
        </w:rPr>
        <w:t>R</w:t>
      </w:r>
      <w:r>
        <w:rPr>
          <w:rFonts w:hint="eastAsia"/>
          <w:sz w:val="20"/>
          <w:szCs w:val="20"/>
          <w:lang w:val="en-US" w:eastAsia="zh-CN"/>
        </w:rPr>
        <w:t>P</w:t>
      </w:r>
      <w:r>
        <w:rPr>
          <w:rFonts w:hint="eastAsia"/>
          <w:sz w:val="20"/>
          <w:szCs w:val="20"/>
        </w:rPr>
        <w:t>-22</w:t>
      </w:r>
      <w:r>
        <w:rPr>
          <w:rFonts w:hint="eastAsia"/>
          <w:sz w:val="20"/>
          <w:szCs w:val="20"/>
          <w:lang w:val="en-US" w:eastAsia="zh-CN"/>
        </w:rPr>
        <w:t xml:space="preserve">3530, </w:t>
      </w:r>
      <w:r>
        <w:rPr>
          <w:rFonts w:hint="eastAsia"/>
          <w:sz w:val="20"/>
          <w:szCs w:val="20"/>
        </w:rPr>
        <w:t>New WID on Introduction of 900 MHz LTE Band in the US</w:t>
      </w:r>
      <w:r>
        <w:rPr>
          <w:rFonts w:hint="eastAsia"/>
          <w:sz w:val="20"/>
          <w:szCs w:val="20"/>
          <w:lang w:val="en-US" w:eastAsia="zh-CN"/>
        </w:rPr>
        <w:t>, Anterix</w:t>
      </w: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5.0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27B758B1"/>
    <w:multiLevelType w:val="multilevel"/>
    <w:tmpl w:val="27B758B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42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1316DE2"/>
    <w:multiLevelType w:val="multilevel"/>
    <w:tmpl w:val="61316DE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B5B4F67"/>
    <w:multiLevelType w:val="multilevel"/>
    <w:tmpl w:val="6B5B4F67"/>
    <w:lvl w:ilvl="0" w:tentative="0">
      <w:start w:val="1"/>
      <w:numFmt w:val="decimal"/>
      <w:pStyle w:val="10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C58"/>
    <w:rsid w:val="000005E4"/>
    <w:rsid w:val="00005BA8"/>
    <w:rsid w:val="000111B2"/>
    <w:rsid w:val="00011B9C"/>
    <w:rsid w:val="00011CD5"/>
    <w:rsid w:val="00014B1E"/>
    <w:rsid w:val="00014C94"/>
    <w:rsid w:val="0001593D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689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032B"/>
    <w:rsid w:val="000C3B38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0FE7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75C"/>
    <w:rsid w:val="001E2E77"/>
    <w:rsid w:val="001E4AAE"/>
    <w:rsid w:val="001E4E10"/>
    <w:rsid w:val="001E527C"/>
    <w:rsid w:val="001E606D"/>
    <w:rsid w:val="001E632B"/>
    <w:rsid w:val="001F0030"/>
    <w:rsid w:val="001F02DE"/>
    <w:rsid w:val="001F07D9"/>
    <w:rsid w:val="001F216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A4C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3E21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3D5C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05C5A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27DA7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1FD8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3F77D6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26D37"/>
    <w:rsid w:val="00430353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32B8"/>
    <w:rsid w:val="00454D97"/>
    <w:rsid w:val="00455646"/>
    <w:rsid w:val="004561E4"/>
    <w:rsid w:val="00456310"/>
    <w:rsid w:val="00456585"/>
    <w:rsid w:val="00457C2F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2E0E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EAF"/>
    <w:rsid w:val="004A4FFD"/>
    <w:rsid w:val="004A501F"/>
    <w:rsid w:val="004A69CB"/>
    <w:rsid w:val="004A74D2"/>
    <w:rsid w:val="004B0DDD"/>
    <w:rsid w:val="004B2F02"/>
    <w:rsid w:val="004B3987"/>
    <w:rsid w:val="004B3D42"/>
    <w:rsid w:val="004C1947"/>
    <w:rsid w:val="004C3F85"/>
    <w:rsid w:val="004C5B13"/>
    <w:rsid w:val="004C649B"/>
    <w:rsid w:val="004C64D0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048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67EA"/>
    <w:rsid w:val="00547135"/>
    <w:rsid w:val="00547EF2"/>
    <w:rsid w:val="00553BA5"/>
    <w:rsid w:val="00553D1B"/>
    <w:rsid w:val="0055473A"/>
    <w:rsid w:val="0055480B"/>
    <w:rsid w:val="00556ADF"/>
    <w:rsid w:val="0055795E"/>
    <w:rsid w:val="00560EA4"/>
    <w:rsid w:val="005628BA"/>
    <w:rsid w:val="0056388D"/>
    <w:rsid w:val="00563AB7"/>
    <w:rsid w:val="00566B59"/>
    <w:rsid w:val="00566F37"/>
    <w:rsid w:val="005679CE"/>
    <w:rsid w:val="005700ED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38B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C28"/>
    <w:rsid w:val="005D4E8E"/>
    <w:rsid w:val="005D5022"/>
    <w:rsid w:val="005D50E3"/>
    <w:rsid w:val="005D5687"/>
    <w:rsid w:val="005D5F35"/>
    <w:rsid w:val="005D66FD"/>
    <w:rsid w:val="005E16B5"/>
    <w:rsid w:val="005E1862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01C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53F2"/>
    <w:rsid w:val="006764BE"/>
    <w:rsid w:val="00676D81"/>
    <w:rsid w:val="0067789C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7CE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3776F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659F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0D6D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368A1"/>
    <w:rsid w:val="008411F3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56CB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5DD2"/>
    <w:rsid w:val="009062EF"/>
    <w:rsid w:val="00906802"/>
    <w:rsid w:val="0091044F"/>
    <w:rsid w:val="00910D2B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5A96"/>
    <w:rsid w:val="009563FE"/>
    <w:rsid w:val="00960687"/>
    <w:rsid w:val="00960B18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3ABE"/>
    <w:rsid w:val="009C4418"/>
    <w:rsid w:val="009C6CEA"/>
    <w:rsid w:val="009D3BD5"/>
    <w:rsid w:val="009D3F31"/>
    <w:rsid w:val="009D47A0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295"/>
    <w:rsid w:val="009E6457"/>
    <w:rsid w:val="009F0576"/>
    <w:rsid w:val="009F0673"/>
    <w:rsid w:val="009F15DB"/>
    <w:rsid w:val="009F1E20"/>
    <w:rsid w:val="009F5116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15714"/>
    <w:rsid w:val="00A2040A"/>
    <w:rsid w:val="00A208FC"/>
    <w:rsid w:val="00A21296"/>
    <w:rsid w:val="00A2182A"/>
    <w:rsid w:val="00A22352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452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5AF8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3498"/>
    <w:rsid w:val="00B43919"/>
    <w:rsid w:val="00B43D28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53C1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12A2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52A1"/>
    <w:rsid w:val="00C57D89"/>
    <w:rsid w:val="00C60227"/>
    <w:rsid w:val="00C61A40"/>
    <w:rsid w:val="00C63599"/>
    <w:rsid w:val="00C638F8"/>
    <w:rsid w:val="00C63E25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924"/>
    <w:rsid w:val="00C80A26"/>
    <w:rsid w:val="00C80ED3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1FF3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37757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1652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4CF9"/>
    <w:rsid w:val="00DD5CC2"/>
    <w:rsid w:val="00DD6686"/>
    <w:rsid w:val="00DD6ADA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E7B80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6F67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54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53C1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3B87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134B"/>
    <w:rsid w:val="00EC22E9"/>
    <w:rsid w:val="00EC294E"/>
    <w:rsid w:val="00EC34BF"/>
    <w:rsid w:val="00EC4E4B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1606"/>
    <w:rsid w:val="00F1411E"/>
    <w:rsid w:val="00F14FC2"/>
    <w:rsid w:val="00F16DB7"/>
    <w:rsid w:val="00F200E4"/>
    <w:rsid w:val="00F20F45"/>
    <w:rsid w:val="00F21458"/>
    <w:rsid w:val="00F225AB"/>
    <w:rsid w:val="00F22FB8"/>
    <w:rsid w:val="00F2339B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45C"/>
    <w:rsid w:val="00F71845"/>
    <w:rsid w:val="00F74AA8"/>
    <w:rsid w:val="00F74D09"/>
    <w:rsid w:val="00F75643"/>
    <w:rsid w:val="00F75C41"/>
    <w:rsid w:val="00F765F8"/>
    <w:rsid w:val="00F776A2"/>
    <w:rsid w:val="00F81824"/>
    <w:rsid w:val="00F81EE2"/>
    <w:rsid w:val="00F84853"/>
    <w:rsid w:val="00F84CA2"/>
    <w:rsid w:val="00F8657A"/>
    <w:rsid w:val="00F870B8"/>
    <w:rsid w:val="00F8787B"/>
    <w:rsid w:val="00F90FC5"/>
    <w:rsid w:val="00F91492"/>
    <w:rsid w:val="00F91BD9"/>
    <w:rsid w:val="00F91D8D"/>
    <w:rsid w:val="00F93621"/>
    <w:rsid w:val="00F950D2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2C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7829D5"/>
    <w:rsid w:val="02163BA5"/>
    <w:rsid w:val="028B0590"/>
    <w:rsid w:val="02A03B02"/>
    <w:rsid w:val="03DE0A80"/>
    <w:rsid w:val="03F73DE3"/>
    <w:rsid w:val="057A6005"/>
    <w:rsid w:val="0A1B4004"/>
    <w:rsid w:val="0C0308E5"/>
    <w:rsid w:val="0C283358"/>
    <w:rsid w:val="0C2C7E90"/>
    <w:rsid w:val="0D0354ED"/>
    <w:rsid w:val="0D463036"/>
    <w:rsid w:val="0E0C4F5A"/>
    <w:rsid w:val="0F62742C"/>
    <w:rsid w:val="134D3473"/>
    <w:rsid w:val="14C43F5F"/>
    <w:rsid w:val="154D51F7"/>
    <w:rsid w:val="155A7C95"/>
    <w:rsid w:val="17FF60FB"/>
    <w:rsid w:val="19AA0F80"/>
    <w:rsid w:val="1A15234F"/>
    <w:rsid w:val="1AF30C8C"/>
    <w:rsid w:val="1BD23A0C"/>
    <w:rsid w:val="1CA53BD5"/>
    <w:rsid w:val="1E7149EF"/>
    <w:rsid w:val="20B00367"/>
    <w:rsid w:val="21863EAB"/>
    <w:rsid w:val="224B108F"/>
    <w:rsid w:val="22620BCB"/>
    <w:rsid w:val="22641FE3"/>
    <w:rsid w:val="260F0AFF"/>
    <w:rsid w:val="27340F09"/>
    <w:rsid w:val="28001F59"/>
    <w:rsid w:val="29E2737D"/>
    <w:rsid w:val="2A6146B0"/>
    <w:rsid w:val="2A9C1AAB"/>
    <w:rsid w:val="2B2F40A6"/>
    <w:rsid w:val="2D4800D2"/>
    <w:rsid w:val="2E5C5DDD"/>
    <w:rsid w:val="2FB64CCC"/>
    <w:rsid w:val="300C2CC7"/>
    <w:rsid w:val="30836E6A"/>
    <w:rsid w:val="32006367"/>
    <w:rsid w:val="36A87283"/>
    <w:rsid w:val="38657695"/>
    <w:rsid w:val="38CA2A50"/>
    <w:rsid w:val="3C170C74"/>
    <w:rsid w:val="3D782782"/>
    <w:rsid w:val="3F764E49"/>
    <w:rsid w:val="42242509"/>
    <w:rsid w:val="431B0047"/>
    <w:rsid w:val="43B9112B"/>
    <w:rsid w:val="450D2FE3"/>
    <w:rsid w:val="46025392"/>
    <w:rsid w:val="464E342E"/>
    <w:rsid w:val="475B16F3"/>
    <w:rsid w:val="490A1E9D"/>
    <w:rsid w:val="4A8751BB"/>
    <w:rsid w:val="4BB87DDF"/>
    <w:rsid w:val="4CC705EB"/>
    <w:rsid w:val="4DDB7B3F"/>
    <w:rsid w:val="4EC16787"/>
    <w:rsid w:val="4ECD1538"/>
    <w:rsid w:val="4EFC3D4D"/>
    <w:rsid w:val="4F764BD9"/>
    <w:rsid w:val="4F9904BD"/>
    <w:rsid w:val="51B44095"/>
    <w:rsid w:val="54C2754B"/>
    <w:rsid w:val="58A17D66"/>
    <w:rsid w:val="5AD74BFA"/>
    <w:rsid w:val="5BC201E5"/>
    <w:rsid w:val="5DB54D40"/>
    <w:rsid w:val="5E0A039F"/>
    <w:rsid w:val="5E110B50"/>
    <w:rsid w:val="5F5670C8"/>
    <w:rsid w:val="60160A07"/>
    <w:rsid w:val="60840213"/>
    <w:rsid w:val="61832EA9"/>
    <w:rsid w:val="64720EAD"/>
    <w:rsid w:val="65663238"/>
    <w:rsid w:val="659702D3"/>
    <w:rsid w:val="65B672D2"/>
    <w:rsid w:val="66387DB8"/>
    <w:rsid w:val="6685187D"/>
    <w:rsid w:val="69015C4B"/>
    <w:rsid w:val="69D50DF4"/>
    <w:rsid w:val="6A5E238E"/>
    <w:rsid w:val="6BA76E26"/>
    <w:rsid w:val="6BAD6FB2"/>
    <w:rsid w:val="6CD67DFE"/>
    <w:rsid w:val="6DB62484"/>
    <w:rsid w:val="70017A1B"/>
    <w:rsid w:val="70276E0E"/>
    <w:rsid w:val="70D06387"/>
    <w:rsid w:val="719B56E7"/>
    <w:rsid w:val="72EB6BD6"/>
    <w:rsid w:val="73DA07E7"/>
    <w:rsid w:val="754A757E"/>
    <w:rsid w:val="796419B9"/>
    <w:rsid w:val="7A097D81"/>
    <w:rsid w:val="7A8D30E0"/>
    <w:rsid w:val="7B0172A0"/>
    <w:rsid w:val="7BA16B42"/>
    <w:rsid w:val="7C2E63F2"/>
    <w:rsid w:val="7D4F1B38"/>
    <w:rsid w:val="7D9F1C0F"/>
    <w:rsid w:val="7F592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2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="Arial" w:hAnsi="Arial" w:eastAsia="MS Mincho"/>
      <w:b w:val="0"/>
      <w:sz w:val="24"/>
      <w:szCs w:val="32"/>
    </w:rPr>
  </w:style>
  <w:style w:type="paragraph" w:styleId="5">
    <w:name w:val="heading 4"/>
    <w:basedOn w:val="4"/>
    <w:next w:val="1"/>
    <w:link w:val="52"/>
    <w:unhideWhenUsed/>
    <w:qFormat/>
    <w:uiPriority w:val="9"/>
    <w:pPr>
      <w:keepNext/>
      <w:keepLines/>
      <w:spacing w:before="40"/>
      <w:outlineLvl w:val="3"/>
    </w:pPr>
    <w:rPr>
      <w:rFonts w:ascii="Arial" w:hAnsi="Arial" w:eastAsiaTheme="majorEastAsia" w:cstheme="majorBidi"/>
      <w:color w:val="000000" w:themeColor="text1"/>
      <w:sz w:val="21"/>
      <w14:textFill>
        <w14:solidFill>
          <w14:schemeClr w14:val="tx1"/>
        </w14:solidFill>
      </w14:textFill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2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semiHidden/>
    <w:unhideWhenUsed/>
    <w:qFormat/>
    <w:uiPriority w:val="99"/>
    <w:pPr>
      <w:jc w:val="left"/>
    </w:pPr>
  </w:style>
  <w:style w:type="paragraph" w:styleId="9">
    <w:name w:val="Body Text"/>
    <w:basedOn w:val="1"/>
    <w:link w:val="23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0">
    <w:name w:val="List 2"/>
    <w:basedOn w:val="11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1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2">
    <w:name w:val="Date"/>
    <w:basedOn w:val="1"/>
    <w:next w:val="1"/>
    <w:link w:val="46"/>
    <w:semiHidden/>
    <w:unhideWhenUsed/>
    <w:qFormat/>
    <w:uiPriority w:val="99"/>
    <w:pPr>
      <w:ind w:left="100" w:leftChars="2500"/>
    </w:pPr>
  </w:style>
  <w:style w:type="paragraph" w:styleId="13">
    <w:name w:val="Balloon Text"/>
    <w:basedOn w:val="1"/>
    <w:link w:val="27"/>
    <w:semiHidden/>
    <w:unhideWhenUsed/>
    <w:qFormat/>
    <w:uiPriority w:val="99"/>
    <w:rPr>
      <w:sz w:val="18"/>
      <w:szCs w:val="18"/>
      <w:lang w:val="zh-CN"/>
    </w:rPr>
  </w:style>
  <w:style w:type="paragraph" w:styleId="14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5">
    <w:name w:val="header"/>
    <w:basedOn w:val="1"/>
    <w:link w:val="24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customStyle="1" w:styleId="21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2">
    <w:name w:val="Heading 2 Char1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3">
    <w:name w:val="Body Text Char"/>
    <w:link w:val="9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4">
    <w:name w:val="Header Char"/>
    <w:link w:val="15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5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6">
    <w:name w:val="Footer Char"/>
    <w:link w:val="14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7">
    <w:name w:val="Balloon Text Char"/>
    <w:link w:val="13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8">
    <w:name w:val="List Paragraph"/>
    <w:basedOn w:val="1"/>
    <w:link w:val="44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29">
    <w:name w:val="Document Map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0">
    <w:name w:val="B1"/>
    <w:basedOn w:val="11"/>
    <w:link w:val="31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1">
    <w:name w:val="B1 (文字)"/>
    <w:link w:val="3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2">
    <w:name w:val="B1 Char1"/>
    <w:qFormat/>
    <w:uiPriority w:val="0"/>
    <w:rPr>
      <w:lang w:val="en-GB" w:eastAsia="en-US"/>
    </w:rPr>
  </w:style>
  <w:style w:type="paragraph" w:customStyle="1" w:styleId="33">
    <w:name w:val="TAH"/>
    <w:basedOn w:val="34"/>
    <w:link w:val="39"/>
    <w:qFormat/>
    <w:uiPriority w:val="0"/>
    <w:rPr>
      <w:b/>
    </w:rPr>
  </w:style>
  <w:style w:type="paragraph" w:customStyle="1" w:styleId="34">
    <w:name w:val="TAC"/>
    <w:basedOn w:val="35"/>
    <w:link w:val="38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5">
    <w:name w:val="TAL"/>
    <w:basedOn w:val="1"/>
    <w:link w:val="48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6">
    <w:name w:val="TH"/>
    <w:basedOn w:val="1"/>
    <w:link w:val="37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7">
    <w:name w:val="TH Char"/>
    <w:link w:val="36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8">
    <w:name w:val="TAC Char"/>
    <w:link w:val="34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39">
    <w:name w:val="TAH Car"/>
    <w:link w:val="33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1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2">
    <w:name w:val="RAN4 proposal"/>
    <w:basedOn w:val="6"/>
    <w:next w:val="1"/>
    <w:link w:val="43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3">
    <w:name w:val="RAN4 proposal Char"/>
    <w:link w:val="42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4">
    <w:name w:val="List Paragraph Char"/>
    <w:link w:val="28"/>
    <w:qFormat/>
    <w:uiPriority w:val="34"/>
    <w:rPr>
      <w:kern w:val="2"/>
      <w:sz w:val="21"/>
      <w:szCs w:val="22"/>
    </w:rPr>
  </w:style>
  <w:style w:type="character" w:customStyle="1" w:styleId="45">
    <w:name w:val="ZGSM"/>
    <w:qFormat/>
    <w:uiPriority w:val="0"/>
  </w:style>
  <w:style w:type="character" w:customStyle="1" w:styleId="46">
    <w:name w:val="Date Char"/>
    <w:link w:val="12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8">
    <w:name w:val="TAL Char"/>
    <w:link w:val="35"/>
    <w:qFormat/>
    <w:uiPriority w:val="0"/>
    <w:rPr>
      <w:rFonts w:ascii="Arial" w:hAnsi="Arial"/>
      <w:sz w:val="18"/>
      <w:lang w:val="en-GB" w:eastAsia="en-US"/>
    </w:rPr>
  </w:style>
  <w:style w:type="character" w:customStyle="1" w:styleId="49">
    <w:name w:val="Heading 3 Char"/>
    <w:link w:val="4"/>
    <w:qFormat/>
    <w:uiPriority w:val="9"/>
    <w:rPr>
      <w:rFonts w:ascii="Arial" w:hAnsi="Arial" w:eastAsia="MS Mincho"/>
      <w:bCs/>
      <w:sz w:val="24"/>
      <w:szCs w:val="32"/>
      <w:lang w:eastAsia="en-US"/>
    </w:rPr>
  </w:style>
  <w:style w:type="character" w:customStyle="1" w:styleId="50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1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2">
    <w:name w:val="Heading 4 Char"/>
    <w:basedOn w:val="19"/>
    <w:link w:val="5"/>
    <w:semiHidden/>
    <w:qFormat/>
    <w:uiPriority w:val="9"/>
    <w:rPr>
      <w:rFonts w:ascii="Arial" w:hAnsi="Arial" w:eastAsiaTheme="majorEastAsia" w:cstheme="majorBidi"/>
      <w:iCs/>
      <w:color w:val="000000" w:themeColor="text1"/>
      <w:sz w:val="21"/>
      <w:szCs w:val="24"/>
      <w:lang w:eastAsia="en-US"/>
      <w14:textFill>
        <w14:solidFill>
          <w14:schemeClr w14:val="tx1"/>
        </w14:solidFill>
      </w14:textFill>
    </w:rPr>
  </w:style>
  <w:style w:type="paragraph" w:customStyle="1" w:styleId="53">
    <w:name w:val="TAN"/>
    <w:basedOn w:val="35"/>
    <w:qFormat/>
    <w:uiPriority w:val="0"/>
    <w:pPr>
      <w:ind w:left="851" w:hanging="851"/>
    </w:pPr>
  </w:style>
  <w:style w:type="paragraph" w:customStyle="1" w:styleId="54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872</Words>
  <Characters>4977</Characters>
  <Lines>41</Lines>
  <Paragraphs>11</Paragraphs>
  <TotalTime>16</TotalTime>
  <ScaleCrop>false</ScaleCrop>
  <LinksUpToDate>false</LinksUpToDate>
  <CharactersWithSpaces>5838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2022-07-29T11:37:00Z</dcterms:created>
  <dc:creator>Aijun CAO</dc:creator>
  <cp:lastModifiedBy>ZTE, Li Lu</cp:lastModifiedBy>
  <cp:lastPrinted>2015-02-02T11:17:00Z</cp:lastPrinted>
  <dcterms:modified xsi:type="dcterms:W3CDTF">2023-02-17T08:39:05Z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